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A35C" w14:textId="77777777" w:rsidR="002D78C9" w:rsidRDefault="00283CA0" w:rsidP="00DD3DD7">
      <w:pPr>
        <w:pStyle w:val="Title"/>
      </w:pPr>
      <w:r w:rsidRPr="002F663C">
        <w:t>NOTIFICATION</w:t>
      </w:r>
    </w:p>
    <w:p w14:paraId="7E99E14D" w14:textId="77777777" w:rsidR="002F663C" w:rsidRPr="002F663C" w:rsidRDefault="00283CA0" w:rsidP="00DD3DD7">
      <w:pPr>
        <w:pStyle w:val="Title3"/>
      </w:pPr>
      <w:r w:rsidRPr="002F663C">
        <w:t>Addendum</w:t>
      </w:r>
    </w:p>
    <w:p w14:paraId="706541DA" w14:textId="77777777" w:rsidR="002F663C" w:rsidRDefault="00283CA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79C4433" w14:textId="77777777" w:rsidR="001E2E4A" w:rsidRPr="002F663C" w:rsidRDefault="001E2E4A" w:rsidP="001E2E4A">
      <w:pPr>
        <w:rPr>
          <w:rFonts w:eastAsia="Calibri" w:cs="Times New Roman"/>
        </w:rPr>
      </w:pPr>
    </w:p>
    <w:p w14:paraId="40F14A0B" w14:textId="77777777" w:rsidR="002F663C" w:rsidRPr="002F663C" w:rsidRDefault="00283CA0" w:rsidP="002F663C">
      <w:pPr>
        <w:jc w:val="center"/>
        <w:rPr>
          <w:rFonts w:eastAsia="Calibri" w:cs="Times New Roman"/>
          <w:b/>
        </w:rPr>
      </w:pPr>
      <w:r w:rsidRPr="002F663C">
        <w:rPr>
          <w:rFonts w:eastAsia="Calibri" w:cs="Times New Roman"/>
          <w:b/>
        </w:rPr>
        <w:t>_______________</w:t>
      </w:r>
    </w:p>
    <w:p w14:paraId="03B26908" w14:textId="77777777" w:rsidR="002F663C" w:rsidRDefault="002F663C" w:rsidP="002F663C">
      <w:pPr>
        <w:rPr>
          <w:rFonts w:eastAsia="Calibri" w:cs="Times New Roman"/>
        </w:rPr>
      </w:pPr>
    </w:p>
    <w:p w14:paraId="6E7413FF" w14:textId="77777777" w:rsidR="00C14444" w:rsidRPr="002F663C" w:rsidRDefault="00C14444" w:rsidP="002F663C">
      <w:pPr>
        <w:rPr>
          <w:rFonts w:eastAsia="Calibri" w:cs="Times New Roman"/>
        </w:rPr>
      </w:pPr>
    </w:p>
    <w:p w14:paraId="76301166" w14:textId="77777777" w:rsidR="002F663C" w:rsidRPr="002F663C" w:rsidRDefault="00283CA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Residential Conventional Ovens</w:t>
      </w:r>
      <w:bookmarkEnd w:id="3"/>
    </w:p>
    <w:p w14:paraId="2D18685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51D72" w14:paraId="337010E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C66EBC8" w14:textId="77777777" w:rsidR="002F663C" w:rsidRPr="002F663C" w:rsidRDefault="00283CA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51D72" w14:paraId="230A2307" w14:textId="77777777" w:rsidTr="00E9471B">
        <w:tc>
          <w:tcPr>
            <w:tcW w:w="851" w:type="dxa"/>
            <w:shd w:val="clear" w:color="auto" w:fill="auto"/>
          </w:tcPr>
          <w:p w14:paraId="6D453F10" w14:textId="77777777" w:rsidR="002F663C" w:rsidRPr="00711F9C" w:rsidRDefault="00283CA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4913E27" w14:textId="77777777" w:rsidR="002F663C" w:rsidRPr="002F663C" w:rsidRDefault="00283CA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51D72" w14:paraId="27502ADE" w14:textId="77777777" w:rsidTr="00E9471B">
        <w:tc>
          <w:tcPr>
            <w:tcW w:w="851" w:type="dxa"/>
            <w:shd w:val="clear" w:color="auto" w:fill="auto"/>
          </w:tcPr>
          <w:p w14:paraId="56EE9A9C"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AAE2F10" w14:textId="77777777" w:rsidR="002F663C" w:rsidRPr="002F663C" w:rsidRDefault="00283C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51D72" w14:paraId="77ABF531" w14:textId="77777777" w:rsidTr="00E9471B">
        <w:tc>
          <w:tcPr>
            <w:tcW w:w="851" w:type="dxa"/>
            <w:shd w:val="clear" w:color="auto" w:fill="auto"/>
          </w:tcPr>
          <w:p w14:paraId="49894703"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276190E" w14:textId="77777777" w:rsidR="002F663C" w:rsidRPr="002F663C" w:rsidRDefault="00283C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51D72" w14:paraId="7E8B3889" w14:textId="77777777" w:rsidTr="00E9471B">
        <w:tc>
          <w:tcPr>
            <w:tcW w:w="851" w:type="dxa"/>
            <w:shd w:val="clear" w:color="auto" w:fill="auto"/>
          </w:tcPr>
          <w:p w14:paraId="1AEA411B"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7D0564B" w14:textId="77777777" w:rsidR="002F663C" w:rsidRPr="002F663C" w:rsidRDefault="00283C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51D72" w14:paraId="69F097A5" w14:textId="77777777" w:rsidTr="00E9471B">
        <w:tc>
          <w:tcPr>
            <w:tcW w:w="851" w:type="dxa"/>
            <w:shd w:val="clear" w:color="auto" w:fill="auto"/>
          </w:tcPr>
          <w:p w14:paraId="3E04CFF0"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9AA00E1" w14:textId="77777777" w:rsidR="002F663C" w:rsidRPr="002F663C" w:rsidRDefault="00283CA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51D72" w14:paraId="5DB1D96A" w14:textId="77777777" w:rsidTr="00E9471B">
        <w:tc>
          <w:tcPr>
            <w:tcW w:w="851" w:type="dxa"/>
            <w:shd w:val="clear" w:color="auto" w:fill="auto"/>
          </w:tcPr>
          <w:p w14:paraId="4DF681F6"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E49F39" w14:textId="77777777" w:rsidR="002F663C" w:rsidRPr="002F663C" w:rsidRDefault="00283CA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1BD13EA" w14:textId="77777777" w:rsidR="002F663C" w:rsidRPr="002F663C" w:rsidRDefault="00283CA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51D72" w14:paraId="42AA36B8" w14:textId="77777777" w:rsidTr="00E9471B">
        <w:tc>
          <w:tcPr>
            <w:tcW w:w="851" w:type="dxa"/>
            <w:shd w:val="clear" w:color="auto" w:fill="auto"/>
          </w:tcPr>
          <w:p w14:paraId="0AEE9672" w14:textId="77777777" w:rsidR="002F663C" w:rsidRPr="00711F9C" w:rsidRDefault="00283CA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E0E4C35" w14:textId="77777777" w:rsidR="002F663C" w:rsidRPr="002F663C" w:rsidRDefault="00283CA0"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058E8152" w14:textId="77777777" w:rsidR="00082727" w:rsidRDefault="00283CA0" w:rsidP="00C14444">
            <w:pPr>
              <w:spacing w:before="120" w:after="120"/>
              <w:rPr>
                <w:rFonts w:eastAsia="Calibri" w:cs="Times New Roman"/>
              </w:rPr>
            </w:pPr>
            <w:r>
              <w:rPr>
                <w:rFonts w:eastAsia="Calibri" w:cs="Times New Roman"/>
              </w:rPr>
              <w:t>Supplemental notice of proposed rulemaking and announcement of public meeting via webinar on Tuesday, 31 January 2023, from 1:00 p.m. to 4:00 p.m. Eastern Time.</w:t>
            </w:r>
          </w:p>
          <w:p w14:paraId="4703E834" w14:textId="77777777" w:rsidR="00082727" w:rsidRDefault="0057203A" w:rsidP="00C14444">
            <w:pPr>
              <w:spacing w:before="120" w:after="120"/>
              <w:rPr>
                <w:rFonts w:eastAsia="Calibri" w:cs="Times New Roman"/>
              </w:rPr>
            </w:pPr>
            <w:hyperlink r:id="rId8" w:tgtFrame="_blank" w:history="1">
              <w:r w:rsidR="00283CA0">
                <w:rPr>
                  <w:rFonts w:eastAsia="Calibri" w:cs="Times New Roman"/>
                  <w:color w:val="0000FF"/>
                  <w:u w:val="single"/>
                </w:rPr>
                <w:t>https://www.govinfo.gov/content/pkg/FR-2023-02-01/html/2023-00610.htm</w:t>
              </w:r>
            </w:hyperlink>
          </w:p>
          <w:p w14:paraId="7BEFDC51" w14:textId="77777777" w:rsidR="00082727" w:rsidRDefault="0057203A" w:rsidP="00C14444">
            <w:pPr>
              <w:spacing w:before="120" w:after="120"/>
              <w:rPr>
                <w:rFonts w:eastAsia="Calibri" w:cs="Times New Roman"/>
              </w:rPr>
            </w:pPr>
            <w:hyperlink r:id="rId9" w:tgtFrame="_blank" w:history="1">
              <w:r w:rsidR="00283CA0">
                <w:rPr>
                  <w:rFonts w:eastAsia="Calibri" w:cs="Times New Roman"/>
                  <w:color w:val="0000FF"/>
                  <w:u w:val="single"/>
                </w:rPr>
                <w:t>https://www.govinfo.gov/content/pkg/FR-2023-02-01/pdf/2023-00610.pdf</w:t>
              </w:r>
            </w:hyperlink>
          </w:p>
          <w:p w14:paraId="3BE40FEE" w14:textId="77777777" w:rsidR="00082727" w:rsidRDefault="0057203A" w:rsidP="00C14444">
            <w:pPr>
              <w:spacing w:before="120" w:after="120"/>
              <w:rPr>
                <w:rFonts w:eastAsia="Calibri" w:cs="Times New Roman"/>
              </w:rPr>
            </w:pPr>
            <w:hyperlink r:id="rId10" w:tgtFrame="_blank" w:history="1">
              <w:r w:rsidR="00283CA0">
                <w:rPr>
                  <w:rFonts w:eastAsia="Calibri" w:cs="Times New Roman"/>
                  <w:color w:val="0000FF"/>
                  <w:u w:val="single"/>
                </w:rPr>
                <w:t>https://members.wto.org/crnattachments/2023/TBT/USA/modification/23_0861_00_e.pdf</w:t>
              </w:r>
            </w:hyperlink>
            <w:bookmarkEnd w:id="20"/>
          </w:p>
          <w:p w14:paraId="3743E4B8" w14:textId="77777777" w:rsidR="002F663C" w:rsidRPr="002F663C" w:rsidRDefault="00283CA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3 April 2023</w:t>
            </w:r>
            <w:bookmarkEnd w:id="21"/>
          </w:p>
        </w:tc>
      </w:tr>
      <w:tr w:rsidR="00C51D72" w14:paraId="73A08C0C" w14:textId="77777777" w:rsidTr="00E9471B">
        <w:tc>
          <w:tcPr>
            <w:tcW w:w="851" w:type="dxa"/>
            <w:shd w:val="clear" w:color="auto" w:fill="auto"/>
          </w:tcPr>
          <w:p w14:paraId="1701FC73" w14:textId="77777777" w:rsidR="002F663C" w:rsidRPr="00711F9C" w:rsidRDefault="00283CA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23E85D1" w14:textId="77777777" w:rsidR="002F663C" w:rsidRPr="002F663C" w:rsidRDefault="00283CA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51D72" w14:paraId="202A749C" w14:textId="77777777" w:rsidTr="00E9471B">
        <w:tc>
          <w:tcPr>
            <w:tcW w:w="851" w:type="dxa"/>
            <w:tcBorders>
              <w:bottom w:val="double" w:sz="4" w:space="0" w:color="auto"/>
            </w:tcBorders>
            <w:shd w:val="clear" w:color="auto" w:fill="auto"/>
          </w:tcPr>
          <w:p w14:paraId="7129A27D" w14:textId="77777777" w:rsidR="002F663C" w:rsidRPr="00711F9C" w:rsidRDefault="00283CA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54B989C" w14:textId="77777777" w:rsidR="002F663C" w:rsidRPr="002F663C" w:rsidRDefault="00283CA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7C859A5" w14:textId="77777777" w:rsidR="002F663C" w:rsidRPr="002F663C" w:rsidRDefault="002F663C" w:rsidP="002F663C">
      <w:pPr>
        <w:jc w:val="left"/>
        <w:rPr>
          <w:rFonts w:eastAsia="Calibri" w:cs="Times New Roman"/>
          <w:highlight w:val="yellow"/>
        </w:rPr>
      </w:pPr>
    </w:p>
    <w:p w14:paraId="7C23C1AA" w14:textId="77777777" w:rsidR="003971FF" w:rsidRPr="007F6EA2" w:rsidRDefault="00283CA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Consumer Conventional Cooking Products</w:t>
      </w:r>
    </w:p>
    <w:p w14:paraId="02C995D7"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0A860EFC"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t>ACTION: Supplemental notice of proposed rulemaking and announcement of public meeting</w:t>
      </w:r>
    </w:p>
    <w:p w14:paraId="53F97DAA"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lastRenderedPageBreak/>
        <w:t xml:space="preserve">SUMMARY: The </w:t>
      </w:r>
      <w:hyperlink r:id="rId11" w:history="1">
        <w:r w:rsidRPr="002F663C">
          <w:rPr>
            <w:rFonts w:eastAsia="Calibri" w:cs="Times New Roman"/>
            <w:color w:val="0000FF"/>
            <w:szCs w:val="18"/>
            <w:u w:val="single"/>
          </w:rPr>
          <w:t>Energy Policy and Conservation Act</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as amended</w:t>
        </w:r>
      </w:hyperlink>
      <w:r w:rsidRPr="002F663C">
        <w:rPr>
          <w:rFonts w:eastAsia="Calibri" w:cs="Times New Roman"/>
          <w:szCs w:val="18"/>
        </w:rPr>
        <w:t xml:space="preserve"> ("EPCA"), prescribes energy conservation standards for various consumer products and certain commercial and industrial equipment, including consumer conventional cooking products. EPCA also requires the U.S. Department of Energy ("DOE") to periodically determine whether more-stringent standards would be technologically feasible and economically justified, and would result in significant energy savings. In this supplemental notice of proposed rulemaking ("SNOPR''), DOE proposes new and amended energy conservation standards for consumer conventional cooking products, and also announces a public meeting to receive comment on these proposed standards and associated analyses and results.</w:t>
      </w:r>
    </w:p>
    <w:p w14:paraId="2556C25C"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t xml:space="preserve">DATES: Meeting: DOE will hold a public meeting via webinar on Tuesday, 31 January 2023, from </w:t>
      </w:r>
      <w:hyperlink r:id="rId13" w:history="1">
        <w:r w:rsidRPr="002F663C">
          <w:rPr>
            <w:rFonts w:eastAsia="Calibri" w:cs="Times New Roman"/>
            <w:color w:val="0000FF"/>
            <w:szCs w:val="18"/>
            <w:u w:val="single"/>
          </w:rPr>
          <w:t>1:00 p.m. to 4:00 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Eastern Time</w:t>
        </w:r>
      </w:hyperlink>
      <w:r w:rsidRPr="002F663C">
        <w:rPr>
          <w:rFonts w:eastAsia="Calibri" w:cs="Times New Roman"/>
          <w:szCs w:val="18"/>
        </w:rPr>
        <w:t>. See section VII of this document, "Public Participation," for webinar registration information, participant instructions, and information about the capabilities available to webinar participants.</w:t>
      </w:r>
    </w:p>
    <w:p w14:paraId="0C6B054A"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t>Comments: DOE will accept comments, data, and information regarding this SNOPR no later than 3 April 2023. Comments regarding the likely competitive impact of the proposed standard should be sent to the Department of Justice contact listed in the ADDRESSES section on or before 3 March 2023.</w:t>
      </w:r>
    </w:p>
    <w:p w14:paraId="00B68E66" w14:textId="77777777" w:rsidR="007F15A0" w:rsidRPr="002F663C" w:rsidRDefault="00283CA0" w:rsidP="00B16ACF">
      <w:pPr>
        <w:spacing w:before="120" w:after="120"/>
        <w:rPr>
          <w:rFonts w:eastAsia="Calibri" w:cs="Times New Roman"/>
          <w:szCs w:val="18"/>
        </w:rPr>
      </w:pPr>
      <w:r w:rsidRPr="002F663C">
        <w:rPr>
          <w:rFonts w:eastAsia="Calibri" w:cs="Times New Roman"/>
          <w:szCs w:val="18"/>
        </w:rPr>
        <w:t xml:space="preserve">This supplemental notice of proposed rulemaking and announcement of public meeting and previous actions notified under the symbol </w:t>
      </w:r>
      <w:hyperlink r:id="rId15" w:history="1">
        <w:r w:rsidRPr="002F663C">
          <w:rPr>
            <w:rFonts w:eastAsia="Calibri" w:cs="Times New Roman"/>
            <w:color w:val="0000FF"/>
            <w:szCs w:val="18"/>
            <w:u w:val="single"/>
          </w:rPr>
          <w:t>G/TBT/N/USA/998</w:t>
        </w:r>
      </w:hyperlink>
      <w:r w:rsidRPr="002F663C">
        <w:rPr>
          <w:rFonts w:eastAsia="Calibri" w:cs="Times New Roman"/>
          <w:szCs w:val="18"/>
        </w:rPr>
        <w:t xml:space="preserve"> are identified by Docket Number EERE-2014-BT-STD-0005. The Docket Folder is available on Regulations.gov at </w:t>
      </w:r>
      <w:hyperlink r:id="rId16" w:history="1">
        <w:r w:rsidRPr="002F663C">
          <w:rPr>
            <w:rFonts w:eastAsia="Calibri" w:cs="Times New Roman"/>
            <w:color w:val="0000FF"/>
            <w:szCs w:val="18"/>
            <w:u w:val="single"/>
          </w:rPr>
          <w:t>https://www.regulations.gov/docket/EERE-2014-BT-STD-0005/document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7681A077" w14:textId="77777777" w:rsidR="006C5A96" w:rsidRDefault="00283CA0" w:rsidP="006C5A96">
      <w:pPr>
        <w:jc w:val="center"/>
        <w:rPr>
          <w:b/>
        </w:rPr>
      </w:pPr>
      <w:r w:rsidRPr="003971FF">
        <w:rPr>
          <w:b/>
        </w:rPr>
        <w:t>__________</w:t>
      </w:r>
    </w:p>
    <w:p w14:paraId="65F5E506" w14:textId="77777777" w:rsidR="004D4D19" w:rsidRDefault="004D4D19" w:rsidP="007F38C2">
      <w:pPr>
        <w:jc w:val="center"/>
        <w:rPr>
          <w:b/>
        </w:rPr>
      </w:pPr>
    </w:p>
    <w:p w14:paraId="255FFCDC"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57B1" w14:textId="77777777" w:rsidR="004B59EE" w:rsidRDefault="00283CA0">
      <w:r>
        <w:separator/>
      </w:r>
    </w:p>
  </w:endnote>
  <w:endnote w:type="continuationSeparator" w:id="0">
    <w:p w14:paraId="2192A900" w14:textId="77777777" w:rsidR="004B59EE" w:rsidRDefault="002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26AD" w14:textId="77777777" w:rsidR="00544326" w:rsidRPr="00DD3DD7" w:rsidRDefault="00283CA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10B2" w14:textId="77777777" w:rsidR="00544326" w:rsidRPr="00DD3DD7" w:rsidRDefault="00283CA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4A0D" w14:textId="77777777" w:rsidR="000248E6" w:rsidRDefault="00283CA0" w:rsidP="00ED54E0">
      <w:r>
        <w:separator/>
      </w:r>
    </w:p>
  </w:footnote>
  <w:footnote w:type="continuationSeparator" w:id="0">
    <w:p w14:paraId="719158CF" w14:textId="77777777" w:rsidR="000248E6" w:rsidRDefault="00283CA0" w:rsidP="00ED54E0">
      <w:r>
        <w:continuationSeparator/>
      </w:r>
    </w:p>
  </w:footnote>
  <w:footnote w:id="1">
    <w:p w14:paraId="26D956E6" w14:textId="77777777" w:rsidR="007F6EA2" w:rsidRDefault="00283CA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59DE" w14:textId="77777777" w:rsidR="00DD3DD7" w:rsidRDefault="00283CA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7995B36" w14:textId="77777777" w:rsidR="004D4D19" w:rsidRPr="00DD3DD7" w:rsidRDefault="004D4D19" w:rsidP="00DD3DD7">
    <w:pPr>
      <w:pStyle w:val="Header"/>
      <w:pBdr>
        <w:bottom w:val="single" w:sz="4" w:space="1" w:color="auto"/>
      </w:pBdr>
      <w:tabs>
        <w:tab w:val="clear" w:pos="4513"/>
        <w:tab w:val="clear" w:pos="9027"/>
      </w:tabs>
      <w:jc w:val="center"/>
    </w:pPr>
  </w:p>
  <w:p w14:paraId="114CFDFD" w14:textId="77777777" w:rsidR="00DD3DD7" w:rsidRPr="00DD3DD7" w:rsidRDefault="00283C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1B87E7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F32" w14:textId="77777777" w:rsidR="00DD3DD7" w:rsidRPr="00283CA0" w:rsidRDefault="00283CA0" w:rsidP="00DD3DD7">
    <w:pPr>
      <w:pStyle w:val="Header"/>
      <w:pBdr>
        <w:bottom w:val="single" w:sz="4" w:space="1" w:color="auto"/>
      </w:pBdr>
      <w:tabs>
        <w:tab w:val="clear" w:pos="4513"/>
        <w:tab w:val="clear" w:pos="9027"/>
      </w:tabs>
      <w:jc w:val="center"/>
      <w:rPr>
        <w:lang w:val="es-ES"/>
      </w:rPr>
    </w:pPr>
    <w:bookmarkStart w:id="28" w:name="spsSymbolHeader"/>
    <w:r w:rsidRPr="00283CA0">
      <w:rPr>
        <w:lang w:val="es-ES"/>
      </w:rPr>
      <w:t>G/TBT/N/USA/998/Add.5</w:t>
    </w:r>
    <w:bookmarkEnd w:id="28"/>
  </w:p>
  <w:p w14:paraId="21C4FE0B" w14:textId="77777777" w:rsidR="00DD3DD7" w:rsidRPr="00283CA0" w:rsidRDefault="00DD3DD7" w:rsidP="00DD3DD7">
    <w:pPr>
      <w:pStyle w:val="Header"/>
      <w:pBdr>
        <w:bottom w:val="single" w:sz="4" w:space="1" w:color="auto"/>
      </w:pBdr>
      <w:tabs>
        <w:tab w:val="clear" w:pos="4513"/>
        <w:tab w:val="clear" w:pos="9027"/>
      </w:tabs>
      <w:jc w:val="center"/>
      <w:rPr>
        <w:lang w:val="es-ES"/>
      </w:rPr>
    </w:pPr>
  </w:p>
  <w:p w14:paraId="1D52AD69" w14:textId="77777777" w:rsidR="00DD3DD7" w:rsidRPr="00DD3DD7" w:rsidRDefault="00283C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7D35E9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1D72" w14:paraId="086C728F" w14:textId="77777777" w:rsidTr="00544326">
      <w:trPr>
        <w:trHeight w:val="240"/>
        <w:jc w:val="center"/>
      </w:trPr>
      <w:tc>
        <w:tcPr>
          <w:tcW w:w="3794" w:type="dxa"/>
          <w:shd w:val="clear" w:color="auto" w:fill="FFFFFF"/>
          <w:tcMar>
            <w:left w:w="108" w:type="dxa"/>
            <w:right w:w="108" w:type="dxa"/>
          </w:tcMar>
          <w:vAlign w:val="center"/>
        </w:tcPr>
        <w:p w14:paraId="5617A6E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46B6E1E" w14:textId="77777777" w:rsidR="00ED54E0" w:rsidRPr="00182B84" w:rsidRDefault="00283CA0" w:rsidP="00425DC5">
          <w:pPr>
            <w:jc w:val="right"/>
            <w:rPr>
              <w:b/>
              <w:color w:val="FF0000"/>
              <w:szCs w:val="16"/>
            </w:rPr>
          </w:pPr>
          <w:r>
            <w:rPr>
              <w:b/>
              <w:color w:val="FF0000"/>
              <w:szCs w:val="16"/>
            </w:rPr>
            <w:t xml:space="preserve"> </w:t>
          </w:r>
        </w:p>
      </w:tc>
    </w:tr>
    <w:tr w:rsidR="00C51D72" w14:paraId="08132E38" w14:textId="77777777" w:rsidTr="00544326">
      <w:trPr>
        <w:trHeight w:val="213"/>
        <w:jc w:val="center"/>
      </w:trPr>
      <w:tc>
        <w:tcPr>
          <w:tcW w:w="3794" w:type="dxa"/>
          <w:vMerge w:val="restart"/>
          <w:shd w:val="clear" w:color="auto" w:fill="FFFFFF"/>
          <w:tcMar>
            <w:left w:w="0" w:type="dxa"/>
            <w:right w:w="0" w:type="dxa"/>
          </w:tcMar>
        </w:tcPr>
        <w:p w14:paraId="43737C84" w14:textId="77777777" w:rsidR="00ED54E0" w:rsidRPr="00182B84" w:rsidRDefault="00283CA0" w:rsidP="00425DC5">
          <w:pPr>
            <w:jc w:val="left"/>
          </w:pPr>
          <w:r w:rsidRPr="00182B84">
            <w:rPr>
              <w:noProof/>
              <w:lang w:val="en-US"/>
            </w:rPr>
            <w:drawing>
              <wp:inline distT="0" distB="0" distL="0" distR="0" wp14:anchorId="038E6F30" wp14:editId="0A4C294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857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7CA001" w14:textId="77777777" w:rsidR="00ED54E0" w:rsidRPr="00182B84" w:rsidRDefault="00ED54E0" w:rsidP="00425DC5">
          <w:pPr>
            <w:jc w:val="right"/>
            <w:rPr>
              <w:b/>
              <w:szCs w:val="16"/>
            </w:rPr>
          </w:pPr>
        </w:p>
      </w:tc>
    </w:tr>
    <w:tr w:rsidR="00C51D72" w:rsidRPr="0057203A" w14:paraId="41E3D727" w14:textId="77777777" w:rsidTr="00544326">
      <w:trPr>
        <w:trHeight w:val="868"/>
        <w:jc w:val="center"/>
      </w:trPr>
      <w:tc>
        <w:tcPr>
          <w:tcW w:w="3794" w:type="dxa"/>
          <w:vMerge/>
          <w:shd w:val="clear" w:color="auto" w:fill="FFFFFF"/>
          <w:tcMar>
            <w:left w:w="108" w:type="dxa"/>
            <w:right w:w="108" w:type="dxa"/>
          </w:tcMar>
        </w:tcPr>
        <w:p w14:paraId="62E0C46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3DA9341" w14:textId="77777777" w:rsidR="00DD3DD7" w:rsidRPr="00283CA0" w:rsidRDefault="00283CA0" w:rsidP="00DD3DD7">
          <w:pPr>
            <w:jc w:val="right"/>
            <w:rPr>
              <w:rFonts w:eastAsia="Calibri" w:cs="Times New Roman"/>
              <w:b/>
              <w:szCs w:val="16"/>
              <w:lang w:val="es-ES"/>
            </w:rPr>
          </w:pPr>
          <w:bookmarkStart w:id="29" w:name="bmkSymbols"/>
          <w:r w:rsidRPr="00283CA0">
            <w:rPr>
              <w:rFonts w:eastAsia="Calibri" w:cs="Times New Roman"/>
              <w:b/>
              <w:szCs w:val="16"/>
              <w:lang w:val="es-ES"/>
            </w:rPr>
            <w:t>G/TBT/N/USA/998/Add.5</w:t>
          </w:r>
          <w:bookmarkEnd w:id="29"/>
        </w:p>
        <w:p w14:paraId="53501288" w14:textId="77777777" w:rsidR="00C14444" w:rsidRPr="00283CA0" w:rsidRDefault="00C14444" w:rsidP="00C14444">
          <w:pPr>
            <w:jc w:val="center"/>
            <w:rPr>
              <w:szCs w:val="16"/>
              <w:lang w:val="es-ES"/>
            </w:rPr>
          </w:pPr>
        </w:p>
      </w:tc>
    </w:tr>
    <w:tr w:rsidR="00C51D72" w14:paraId="2CE52E4B" w14:textId="77777777" w:rsidTr="00544326">
      <w:trPr>
        <w:trHeight w:val="240"/>
        <w:jc w:val="center"/>
      </w:trPr>
      <w:tc>
        <w:tcPr>
          <w:tcW w:w="3794" w:type="dxa"/>
          <w:vMerge/>
          <w:shd w:val="clear" w:color="auto" w:fill="FFFFFF"/>
          <w:tcMar>
            <w:left w:w="108" w:type="dxa"/>
            <w:right w:w="108" w:type="dxa"/>
          </w:tcMar>
          <w:vAlign w:val="center"/>
        </w:tcPr>
        <w:p w14:paraId="5CC1D4A6" w14:textId="77777777" w:rsidR="00ED54E0" w:rsidRPr="00283CA0" w:rsidRDefault="00ED54E0" w:rsidP="00425DC5">
          <w:pPr>
            <w:rPr>
              <w:lang w:val="es-ES"/>
            </w:rPr>
          </w:pPr>
        </w:p>
      </w:tc>
      <w:tc>
        <w:tcPr>
          <w:tcW w:w="5448" w:type="dxa"/>
          <w:gridSpan w:val="2"/>
          <w:shd w:val="clear" w:color="auto" w:fill="FFFFFF"/>
          <w:tcMar>
            <w:left w:w="108" w:type="dxa"/>
            <w:right w:w="108" w:type="dxa"/>
          </w:tcMar>
          <w:vAlign w:val="center"/>
        </w:tcPr>
        <w:p w14:paraId="1307CA36" w14:textId="6234091F" w:rsidR="00ED54E0" w:rsidRPr="00182B84" w:rsidRDefault="00283CA0" w:rsidP="00425DC5">
          <w:pPr>
            <w:jc w:val="right"/>
            <w:rPr>
              <w:szCs w:val="16"/>
            </w:rPr>
          </w:pPr>
          <w:bookmarkStart w:id="30" w:name="bmkDate"/>
          <w:bookmarkEnd w:id="30"/>
          <w:r>
            <w:rPr>
              <w:szCs w:val="16"/>
            </w:rPr>
            <w:t>2 February 2023</w:t>
          </w:r>
        </w:p>
      </w:tc>
    </w:tr>
    <w:tr w:rsidR="00C51D72" w14:paraId="416EE06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2DC152" w14:textId="17F0F5F0" w:rsidR="00ED54E0" w:rsidRPr="00182B84" w:rsidRDefault="00283CA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57203A">
            <w:rPr>
              <w:rFonts w:eastAsia="Calibri" w:cs="Times New Roman"/>
              <w:color w:val="FF0000"/>
              <w:szCs w:val="16"/>
            </w:rPr>
            <w:t>731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95E4AF8" w14:textId="77777777" w:rsidR="00ED54E0" w:rsidRPr="00182B84" w:rsidRDefault="00283CA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51D72" w14:paraId="04E8424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A31D11" w14:textId="77777777" w:rsidR="00ED54E0" w:rsidRPr="00182B84" w:rsidRDefault="00283CA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D9EEC9D" w14:textId="77777777" w:rsidR="00ED54E0" w:rsidRPr="00182B84" w:rsidRDefault="00283CA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D42EEA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328DD4">
      <w:start w:val="1"/>
      <w:numFmt w:val="decimal"/>
      <w:pStyle w:val="SummaryText"/>
      <w:lvlText w:val="%1."/>
      <w:lvlJc w:val="left"/>
      <w:pPr>
        <w:ind w:left="360" w:hanging="360"/>
      </w:pPr>
    </w:lvl>
    <w:lvl w:ilvl="1" w:tplc="8682C398" w:tentative="1">
      <w:start w:val="1"/>
      <w:numFmt w:val="lowerLetter"/>
      <w:lvlText w:val="%2."/>
      <w:lvlJc w:val="left"/>
      <w:pPr>
        <w:ind w:left="1080" w:hanging="360"/>
      </w:pPr>
    </w:lvl>
    <w:lvl w:ilvl="2" w:tplc="5B6469BE" w:tentative="1">
      <w:start w:val="1"/>
      <w:numFmt w:val="lowerRoman"/>
      <w:lvlText w:val="%3."/>
      <w:lvlJc w:val="right"/>
      <w:pPr>
        <w:ind w:left="1800" w:hanging="180"/>
      </w:pPr>
    </w:lvl>
    <w:lvl w:ilvl="3" w:tplc="F866202A" w:tentative="1">
      <w:start w:val="1"/>
      <w:numFmt w:val="decimal"/>
      <w:lvlText w:val="%4."/>
      <w:lvlJc w:val="left"/>
      <w:pPr>
        <w:ind w:left="2520" w:hanging="360"/>
      </w:pPr>
    </w:lvl>
    <w:lvl w:ilvl="4" w:tplc="6CE29D9C" w:tentative="1">
      <w:start w:val="1"/>
      <w:numFmt w:val="lowerLetter"/>
      <w:lvlText w:val="%5."/>
      <w:lvlJc w:val="left"/>
      <w:pPr>
        <w:ind w:left="3240" w:hanging="360"/>
      </w:pPr>
    </w:lvl>
    <w:lvl w:ilvl="5" w:tplc="D38AD12C" w:tentative="1">
      <w:start w:val="1"/>
      <w:numFmt w:val="lowerRoman"/>
      <w:lvlText w:val="%6."/>
      <w:lvlJc w:val="right"/>
      <w:pPr>
        <w:ind w:left="3960" w:hanging="180"/>
      </w:pPr>
    </w:lvl>
    <w:lvl w:ilvl="6" w:tplc="223CB8A8" w:tentative="1">
      <w:start w:val="1"/>
      <w:numFmt w:val="decimal"/>
      <w:lvlText w:val="%7."/>
      <w:lvlJc w:val="left"/>
      <w:pPr>
        <w:ind w:left="4680" w:hanging="360"/>
      </w:pPr>
    </w:lvl>
    <w:lvl w:ilvl="7" w:tplc="7B2CC408" w:tentative="1">
      <w:start w:val="1"/>
      <w:numFmt w:val="lowerLetter"/>
      <w:lvlText w:val="%8."/>
      <w:lvlJc w:val="left"/>
      <w:pPr>
        <w:ind w:left="5400" w:hanging="360"/>
      </w:pPr>
    </w:lvl>
    <w:lvl w:ilvl="8" w:tplc="FF72625A" w:tentative="1">
      <w:start w:val="1"/>
      <w:numFmt w:val="lowerRoman"/>
      <w:lvlText w:val="%9."/>
      <w:lvlJc w:val="right"/>
      <w:pPr>
        <w:ind w:left="6120" w:hanging="180"/>
      </w:pPr>
    </w:lvl>
  </w:abstractNum>
  <w:num w:numId="1" w16cid:durableId="1642491683">
    <w:abstractNumId w:val="9"/>
  </w:num>
  <w:num w:numId="2" w16cid:durableId="924152237">
    <w:abstractNumId w:val="7"/>
  </w:num>
  <w:num w:numId="3" w16cid:durableId="2080250913">
    <w:abstractNumId w:val="6"/>
  </w:num>
  <w:num w:numId="4" w16cid:durableId="998652452">
    <w:abstractNumId w:val="5"/>
  </w:num>
  <w:num w:numId="5" w16cid:durableId="416634109">
    <w:abstractNumId w:val="4"/>
  </w:num>
  <w:num w:numId="6" w16cid:durableId="1866677980">
    <w:abstractNumId w:val="12"/>
  </w:num>
  <w:num w:numId="7" w16cid:durableId="1213228111">
    <w:abstractNumId w:val="11"/>
  </w:num>
  <w:num w:numId="8" w16cid:durableId="2051881087">
    <w:abstractNumId w:val="10"/>
  </w:num>
  <w:num w:numId="9" w16cid:durableId="13163039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909524">
    <w:abstractNumId w:val="13"/>
  </w:num>
  <w:num w:numId="11" w16cid:durableId="288511204">
    <w:abstractNumId w:val="8"/>
  </w:num>
  <w:num w:numId="12" w16cid:durableId="1155727673">
    <w:abstractNumId w:val="3"/>
  </w:num>
  <w:num w:numId="13" w16cid:durableId="2082755383">
    <w:abstractNumId w:val="2"/>
  </w:num>
  <w:num w:numId="14" w16cid:durableId="1138960213">
    <w:abstractNumId w:val="1"/>
  </w:num>
  <w:num w:numId="15" w16cid:durableId="2025279925">
    <w:abstractNumId w:val="0"/>
  </w:num>
  <w:num w:numId="16" w16cid:durableId="97032719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83CA0"/>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59EE"/>
    <w:rsid w:val="004C5A53"/>
    <w:rsid w:val="004D4D19"/>
    <w:rsid w:val="004F203A"/>
    <w:rsid w:val="005336B8"/>
    <w:rsid w:val="00544326"/>
    <w:rsid w:val="00547B5F"/>
    <w:rsid w:val="0057203A"/>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15A0"/>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6F57"/>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1D72"/>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9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2-01/html/2023-00610.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www.regulations.gov/docket/EERE-2014-BT-STD-0005/docu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info.gov/content/pkg/USCODE-2020-title42/html/USCODE-2020-title42-chap77-subchapIII-partA.htm" TargetMode="External"/><Relationship Id="rId17" Type="http://schemas.openxmlformats.org/officeDocument/2006/relationships/hyperlink" Target="mailto:usatbtep@nist.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ulations.gov/docket/EERE-2014-BT-STD-0005/docu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buildings/determinations-and-coverage-rulemaking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ing.wto.org/en/Search?domainIds=1&amp;documentSymbol=usa%2F998" TargetMode="External"/><Relationship Id="rId23" Type="http://schemas.openxmlformats.org/officeDocument/2006/relationships/header" Target="header3.xml"/><Relationship Id="rId10" Type="http://schemas.openxmlformats.org/officeDocument/2006/relationships/hyperlink" Target="https://members.wto.org/crnattachments/2023/TBT/USA/modification/23_0861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3-02-01/pdf/2023-00610.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2023-02-02T09:23:00Z</dcterms:created>
  <dcterms:modified xsi:type="dcterms:W3CDTF">2023-02-02T10:00:00Z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