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74A2" w14:textId="77777777" w:rsidR="002D78C9" w:rsidRDefault="00631D0B" w:rsidP="00DD3DD7">
      <w:pPr>
        <w:pStyle w:val="Title"/>
      </w:pPr>
      <w:r w:rsidRPr="002F663C">
        <w:t>NOTIFICATION</w:t>
      </w:r>
    </w:p>
    <w:p w14:paraId="525D6F23" w14:textId="77777777" w:rsidR="002F663C" w:rsidRPr="002F663C" w:rsidRDefault="00631D0B" w:rsidP="00DD3DD7">
      <w:pPr>
        <w:pStyle w:val="Title3"/>
      </w:pPr>
      <w:r w:rsidRPr="002F663C">
        <w:t>Addendum</w:t>
      </w:r>
    </w:p>
    <w:p w14:paraId="657D72BF" w14:textId="77777777" w:rsidR="002F663C" w:rsidRDefault="00631D0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17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18A7EBD8" w14:textId="77777777" w:rsidR="001E2E4A" w:rsidRPr="002F663C" w:rsidRDefault="001E2E4A" w:rsidP="001E2E4A">
      <w:pPr>
        <w:rPr>
          <w:rFonts w:eastAsia="Calibri" w:cs="Times New Roman"/>
        </w:rPr>
      </w:pPr>
    </w:p>
    <w:p w14:paraId="7D0F8ADE" w14:textId="77777777" w:rsidR="002F663C" w:rsidRPr="002F663C" w:rsidRDefault="00631D0B" w:rsidP="002F663C">
      <w:pPr>
        <w:jc w:val="center"/>
        <w:rPr>
          <w:rFonts w:eastAsia="Calibri" w:cs="Times New Roman"/>
          <w:b/>
        </w:rPr>
      </w:pPr>
      <w:r w:rsidRPr="002F663C">
        <w:rPr>
          <w:rFonts w:eastAsia="Calibri" w:cs="Times New Roman"/>
          <w:b/>
        </w:rPr>
        <w:t>_______________</w:t>
      </w:r>
    </w:p>
    <w:p w14:paraId="584F58D7" w14:textId="77777777" w:rsidR="002F663C" w:rsidRDefault="002F663C" w:rsidP="002F663C">
      <w:pPr>
        <w:rPr>
          <w:rFonts w:eastAsia="Calibri" w:cs="Times New Roman"/>
        </w:rPr>
      </w:pPr>
    </w:p>
    <w:p w14:paraId="7710030C" w14:textId="77777777" w:rsidR="00C14444" w:rsidRPr="002F663C" w:rsidRDefault="00C14444" w:rsidP="002F663C">
      <w:pPr>
        <w:rPr>
          <w:rFonts w:eastAsia="Calibri" w:cs="Times New Roman"/>
        </w:rPr>
      </w:pPr>
    </w:p>
    <w:p w14:paraId="3C51E67C" w14:textId="77777777" w:rsidR="002F663C" w:rsidRPr="002F663C" w:rsidRDefault="00631D0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New Source Performance Standards Review for Volatile Organic Liquid Storage Vessels (Including Petroleum Liquid Storage Vessels)</w:t>
      </w:r>
    </w:p>
    <w:p w14:paraId="2D03F81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F1412" w14:paraId="2A6C391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C516A6B" w14:textId="77777777" w:rsidR="002F663C" w:rsidRPr="002F663C" w:rsidRDefault="00631D0B"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EF1412" w14:paraId="637D0D25" w14:textId="77777777" w:rsidTr="00E9471B">
        <w:tc>
          <w:tcPr>
            <w:tcW w:w="851" w:type="dxa"/>
            <w:shd w:val="clear" w:color="auto" w:fill="auto"/>
          </w:tcPr>
          <w:p w14:paraId="14D7770F" w14:textId="77777777" w:rsidR="002F663C" w:rsidRPr="00711F9C" w:rsidRDefault="00631D0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8FF4168" w14:textId="77777777" w:rsidR="002F663C" w:rsidRPr="002F663C" w:rsidRDefault="00631D0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EF1412" w14:paraId="6B9DE41F" w14:textId="77777777" w:rsidTr="00E9471B">
        <w:tc>
          <w:tcPr>
            <w:tcW w:w="851" w:type="dxa"/>
            <w:shd w:val="clear" w:color="auto" w:fill="auto"/>
          </w:tcPr>
          <w:p w14:paraId="4F6E2087" w14:textId="77777777" w:rsidR="002F663C" w:rsidRPr="00711F9C" w:rsidRDefault="00631D0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EE2BDF3" w14:textId="77777777" w:rsidR="002F663C" w:rsidRPr="002F663C" w:rsidRDefault="00631D0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EF1412" w14:paraId="1D7C7499" w14:textId="77777777" w:rsidTr="00E9471B">
        <w:tc>
          <w:tcPr>
            <w:tcW w:w="851" w:type="dxa"/>
            <w:shd w:val="clear" w:color="auto" w:fill="auto"/>
          </w:tcPr>
          <w:p w14:paraId="23457917" w14:textId="77777777" w:rsidR="002F663C" w:rsidRPr="00711F9C" w:rsidRDefault="00631D0B"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B433CB3" w14:textId="77777777" w:rsidR="002F663C" w:rsidRPr="002F663C" w:rsidRDefault="00631D0B"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15 October 2024</w:t>
            </w:r>
          </w:p>
        </w:tc>
      </w:tr>
      <w:tr w:rsidR="00EF1412" w14:paraId="73052C60" w14:textId="77777777" w:rsidTr="00E9471B">
        <w:tc>
          <w:tcPr>
            <w:tcW w:w="851" w:type="dxa"/>
            <w:shd w:val="clear" w:color="auto" w:fill="auto"/>
          </w:tcPr>
          <w:p w14:paraId="4A91D5B1" w14:textId="77777777" w:rsidR="002F663C" w:rsidRPr="00711F9C" w:rsidRDefault="00631D0B"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7BFC569" w14:textId="77777777" w:rsidR="002F663C" w:rsidRPr="002F663C" w:rsidRDefault="00631D0B"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15 October 2024</w:t>
            </w:r>
          </w:p>
        </w:tc>
      </w:tr>
      <w:tr w:rsidR="00EF1412" w14:paraId="5181ECEE" w14:textId="77777777" w:rsidTr="00E9471B">
        <w:tc>
          <w:tcPr>
            <w:tcW w:w="851" w:type="dxa"/>
            <w:shd w:val="clear" w:color="auto" w:fill="auto"/>
          </w:tcPr>
          <w:p w14:paraId="288459E9" w14:textId="77777777" w:rsidR="002F663C" w:rsidRPr="00711F9C" w:rsidRDefault="00631D0B"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879FD02" w14:textId="77777777" w:rsidR="002F663C" w:rsidRPr="002F663C" w:rsidRDefault="00631D0B"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7AEC2CDC" w14:textId="77777777" w:rsidR="002F663C" w:rsidRPr="002F663C" w:rsidRDefault="005C2FBC" w:rsidP="00EB7B40">
            <w:pPr>
              <w:spacing w:before="120" w:after="120"/>
              <w:rPr>
                <w:rFonts w:eastAsia="Calibri" w:cs="Times New Roman"/>
              </w:rPr>
            </w:pPr>
            <w:hyperlink r:id="rId9" w:tgtFrame="_blank" w:history="1">
              <w:r w:rsidR="00631D0B" w:rsidRPr="002F663C">
                <w:rPr>
                  <w:rFonts w:eastAsia="Calibri" w:cs="Times New Roman"/>
                  <w:color w:val="0000FF"/>
                  <w:u w:val="single"/>
                </w:rPr>
                <w:t>https://members.wto.org/crna</w:t>
              </w:r>
              <w:r w:rsidR="00631D0B" w:rsidRPr="002F663C">
                <w:rPr>
                  <w:rFonts w:eastAsia="Calibri" w:cs="Times New Roman"/>
                  <w:color w:val="0000FF"/>
                  <w:u w:val="single"/>
                </w:rPr>
                <w:t>t</w:t>
              </w:r>
              <w:r w:rsidR="00631D0B" w:rsidRPr="002F663C">
                <w:rPr>
                  <w:rFonts w:eastAsia="Calibri" w:cs="Times New Roman"/>
                  <w:color w:val="0000FF"/>
                  <w:u w:val="single"/>
                </w:rPr>
                <w:t>tachments/2024/TBT/USA/final_measure/24_06919_00_e.pdf</w:t>
              </w:r>
            </w:hyperlink>
          </w:p>
        </w:tc>
      </w:tr>
      <w:tr w:rsidR="00EF1412" w14:paraId="0FA1151B" w14:textId="77777777" w:rsidTr="00E9471B">
        <w:tc>
          <w:tcPr>
            <w:tcW w:w="851" w:type="dxa"/>
            <w:shd w:val="clear" w:color="auto" w:fill="auto"/>
          </w:tcPr>
          <w:p w14:paraId="006B4DCB" w14:textId="77777777" w:rsidR="002F663C" w:rsidRPr="00711F9C" w:rsidRDefault="00631D0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F94045E" w14:textId="77777777" w:rsidR="002F663C" w:rsidRPr="002F663C" w:rsidRDefault="00631D0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5C7856A6" w14:textId="77777777" w:rsidR="002F663C" w:rsidRPr="002F663C" w:rsidRDefault="00631D0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EF1412" w14:paraId="75E4C7EB" w14:textId="77777777" w:rsidTr="00E9471B">
        <w:tc>
          <w:tcPr>
            <w:tcW w:w="851" w:type="dxa"/>
            <w:shd w:val="clear" w:color="auto" w:fill="auto"/>
          </w:tcPr>
          <w:p w14:paraId="31B37318" w14:textId="77777777" w:rsidR="002F663C" w:rsidRPr="00711F9C" w:rsidRDefault="00631D0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C5321BB" w14:textId="77777777" w:rsidR="002F663C" w:rsidRPr="002F663C" w:rsidRDefault="00631D0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C41DDC0" w14:textId="77777777" w:rsidR="002F663C" w:rsidRPr="002F663C" w:rsidRDefault="00631D0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EF1412" w14:paraId="23DDE5E3" w14:textId="77777777" w:rsidTr="00E9471B">
        <w:tc>
          <w:tcPr>
            <w:tcW w:w="851" w:type="dxa"/>
            <w:shd w:val="clear" w:color="auto" w:fill="auto"/>
          </w:tcPr>
          <w:p w14:paraId="64D672E9" w14:textId="77777777" w:rsidR="002F663C" w:rsidRPr="00711F9C" w:rsidRDefault="00631D0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2034E42" w14:textId="77777777" w:rsidR="002F663C" w:rsidRPr="002F663C" w:rsidRDefault="00631D0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EF1412" w14:paraId="4485DA63" w14:textId="77777777" w:rsidTr="00E9471B">
        <w:tc>
          <w:tcPr>
            <w:tcW w:w="851" w:type="dxa"/>
            <w:tcBorders>
              <w:bottom w:val="double" w:sz="4" w:space="0" w:color="auto"/>
            </w:tcBorders>
            <w:shd w:val="clear" w:color="auto" w:fill="auto"/>
          </w:tcPr>
          <w:p w14:paraId="12C8F9E1" w14:textId="77777777" w:rsidR="002F663C" w:rsidRPr="00711F9C" w:rsidRDefault="00631D0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4326D9FF" w14:textId="77777777" w:rsidR="002F663C" w:rsidRPr="002F663C" w:rsidRDefault="00631D0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5E17DE22" w14:textId="77777777" w:rsidR="002F663C" w:rsidRPr="002F663C" w:rsidRDefault="002F663C" w:rsidP="002F663C">
      <w:pPr>
        <w:jc w:val="left"/>
        <w:rPr>
          <w:rFonts w:eastAsia="Calibri" w:cs="Times New Roman"/>
          <w:highlight w:val="yellow"/>
        </w:rPr>
      </w:pPr>
    </w:p>
    <w:p w14:paraId="54B193D8" w14:textId="77777777" w:rsidR="003971FF" w:rsidRPr="007F6EA2" w:rsidRDefault="00631D0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Environmental Protection Agency (EPA) is finalizing amendments to the new source performance standards (NSPS) for Volatile Organic Liquid Storage Vessels (Including Petroleum Liquid Storage Vessels) pursuant to the review required by the Clean Air Act (</w:t>
      </w:r>
      <w:hyperlink r:id="rId10" w:history="1">
        <w:r w:rsidRPr="002F663C">
          <w:rPr>
            <w:rFonts w:eastAsia="Calibri" w:cs="Times New Roman"/>
            <w:color w:val="0000FF"/>
            <w:szCs w:val="18"/>
            <w:u w:val="single"/>
          </w:rPr>
          <w:t>CAA</w:t>
        </w:r>
      </w:hyperlink>
      <w:r w:rsidRPr="002F663C">
        <w:rPr>
          <w:rFonts w:eastAsia="Calibri" w:cs="Times New Roman"/>
          <w:szCs w:val="18"/>
        </w:rPr>
        <w:t>). The EPA is finalizing revisions to the NSPS that are applicable to volatile organic liquid (VOL) storage vessels that commence construction, reconstruction, or modification after 4 October 2023, under a new NSPS subpart, as well as amendments to an existing subpart. In the new NSPS subpart Kc, the EPA is finalizing requirements to reduce the vapor pressure applicability thresholds and revise the volatile organic compound (VOC) standards to reflect the best system of emission reduction (</w:t>
      </w:r>
      <w:proofErr w:type="spellStart"/>
      <w:r w:rsidRPr="002F663C">
        <w:rPr>
          <w:rFonts w:eastAsia="Calibri" w:cs="Times New Roman"/>
          <w:szCs w:val="18"/>
        </w:rPr>
        <w:t>BSER</w:t>
      </w:r>
      <w:proofErr w:type="spellEnd"/>
      <w:r w:rsidRPr="002F663C">
        <w:rPr>
          <w:rFonts w:eastAsia="Calibri" w:cs="Times New Roman"/>
          <w:szCs w:val="18"/>
        </w:rPr>
        <w:t>) for affected storage vessels. In addition, the EPA is finalizing degassing emission controls; clarification of startup, shutdown, and malfunction (</w:t>
      </w:r>
      <w:proofErr w:type="spellStart"/>
      <w:r w:rsidRPr="002F663C">
        <w:rPr>
          <w:rFonts w:eastAsia="Calibri" w:cs="Times New Roman"/>
          <w:szCs w:val="18"/>
        </w:rPr>
        <w:t>SSM</w:t>
      </w:r>
      <w:proofErr w:type="spellEnd"/>
      <w:r w:rsidRPr="002F663C">
        <w:rPr>
          <w:rFonts w:eastAsia="Calibri" w:cs="Times New Roman"/>
          <w:szCs w:val="18"/>
        </w:rPr>
        <w:t>) requirements; additional monitoring requirements; and other technical improvements</w:t>
      </w:r>
    </w:p>
    <w:p w14:paraId="3B81A8F9" w14:textId="77777777" w:rsidR="00E0126F" w:rsidRPr="002F663C" w:rsidRDefault="00631D0B" w:rsidP="00B16ACF">
      <w:pPr>
        <w:spacing w:before="120" w:after="120"/>
        <w:rPr>
          <w:rFonts w:eastAsia="Calibri" w:cs="Times New Roman"/>
          <w:szCs w:val="18"/>
        </w:rPr>
      </w:pPr>
      <w:r w:rsidRPr="002F663C">
        <w:rPr>
          <w:rFonts w:eastAsia="Calibri" w:cs="Times New Roman"/>
          <w:szCs w:val="18"/>
        </w:rPr>
        <w:lastRenderedPageBreak/>
        <w:t>This final rule is effective on 15 October 2024. The incorporation by reference of certain publications listed in the rule is approved by the Director of the Federal Register as of 15 October 2024.</w:t>
      </w:r>
    </w:p>
    <w:p w14:paraId="783C3AAF" w14:textId="77777777" w:rsidR="00E0126F" w:rsidRPr="002F663C" w:rsidRDefault="00631D0B" w:rsidP="00B16ACF">
      <w:pPr>
        <w:spacing w:before="120" w:after="120"/>
        <w:rPr>
          <w:rFonts w:eastAsia="Calibri" w:cs="Times New Roman"/>
          <w:szCs w:val="18"/>
        </w:rPr>
      </w:pPr>
      <w:r w:rsidRPr="002F663C">
        <w:rPr>
          <w:rFonts w:eastAsia="Calibri" w:cs="Times New Roman"/>
          <w:szCs w:val="18"/>
        </w:rPr>
        <w:t xml:space="preserve">89 Federal Register (FR) 83296, </w:t>
      </w:r>
      <w:hyperlink r:id="rId11" w:history="1">
        <w:r w:rsidRPr="002F663C">
          <w:rPr>
            <w:rFonts w:eastAsia="Calibri" w:cs="Times New Roman"/>
            <w:color w:val="0000FF"/>
            <w:szCs w:val="18"/>
            <w:u w:val="single"/>
          </w:rPr>
          <w:t>Title 40 Code of Federal Regulations (CFR) Part 60</w:t>
        </w:r>
      </w:hyperlink>
      <w:r w:rsidRPr="002F663C">
        <w:rPr>
          <w:rFonts w:eastAsia="Calibri" w:cs="Times New Roman"/>
          <w:szCs w:val="18"/>
        </w:rPr>
        <w:t>:</w:t>
      </w:r>
    </w:p>
    <w:p w14:paraId="39A450CC" w14:textId="77777777" w:rsidR="00E0126F" w:rsidRPr="002F663C" w:rsidRDefault="005C2FBC" w:rsidP="00B16ACF">
      <w:pPr>
        <w:spacing w:before="120" w:after="120"/>
        <w:rPr>
          <w:rFonts w:eastAsia="Calibri" w:cs="Times New Roman"/>
          <w:szCs w:val="18"/>
        </w:rPr>
      </w:pPr>
      <w:hyperlink r:id="rId12" w:history="1">
        <w:r w:rsidR="00631D0B" w:rsidRPr="002F663C">
          <w:rPr>
            <w:rFonts w:eastAsia="Calibri" w:cs="Times New Roman"/>
            <w:color w:val="0000FF"/>
            <w:szCs w:val="18"/>
            <w:u w:val="single"/>
          </w:rPr>
          <w:t>https://www.govinfo.gov/content/pkg/FR-2024-10-15/html/2024-22823.htm</w:t>
        </w:r>
      </w:hyperlink>
    </w:p>
    <w:p w14:paraId="6FBC7A72" w14:textId="77777777" w:rsidR="00E0126F" w:rsidRPr="002F663C" w:rsidRDefault="005C2FBC" w:rsidP="00B16ACF">
      <w:pPr>
        <w:spacing w:before="120" w:after="120"/>
        <w:rPr>
          <w:rFonts w:eastAsia="Calibri" w:cs="Times New Roman"/>
          <w:szCs w:val="18"/>
        </w:rPr>
      </w:pPr>
      <w:hyperlink r:id="rId13" w:history="1">
        <w:r w:rsidR="00631D0B" w:rsidRPr="002F663C">
          <w:rPr>
            <w:rFonts w:eastAsia="Calibri" w:cs="Times New Roman"/>
            <w:color w:val="0000FF"/>
            <w:szCs w:val="18"/>
            <w:u w:val="single"/>
          </w:rPr>
          <w:t>https://www.govinfo.gov/content/pkg/FR-2024-10-15/pdf/2024-22823.pdf</w:t>
        </w:r>
      </w:hyperlink>
    </w:p>
    <w:p w14:paraId="2CB26D8A" w14:textId="77777777" w:rsidR="00E0126F" w:rsidRPr="002F663C" w:rsidRDefault="00631D0B"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4" w:history="1">
        <w:r w:rsidRPr="002F663C">
          <w:rPr>
            <w:rFonts w:eastAsia="Calibri" w:cs="Times New Roman"/>
            <w:color w:val="0000FF"/>
            <w:szCs w:val="18"/>
            <w:u w:val="single"/>
          </w:rPr>
          <w:t>G/TBT/N/USA/2055</w:t>
        </w:r>
      </w:hyperlink>
      <w:r w:rsidRPr="002F663C">
        <w:rPr>
          <w:rFonts w:eastAsia="Calibri" w:cs="Times New Roman"/>
          <w:szCs w:val="18"/>
        </w:rPr>
        <w:t xml:space="preserve"> are identified by Docket Number EPA-HQ-OAR-2023-0358. The Docket Folder is available on Regulations.gov at </w:t>
      </w:r>
      <w:hyperlink r:id="rId15" w:history="1">
        <w:r w:rsidRPr="002F663C">
          <w:rPr>
            <w:rFonts w:eastAsia="Calibri" w:cs="Times New Roman"/>
            <w:color w:val="0000FF"/>
            <w:szCs w:val="18"/>
            <w:u w:val="single"/>
          </w:rPr>
          <w:t>https://www.regulations.gov/docket/EPA-HQ-OAR-2023-0358/document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54210001" w14:textId="77777777" w:rsidR="006C5A96" w:rsidRDefault="00631D0B" w:rsidP="006C5A96">
      <w:pPr>
        <w:jc w:val="center"/>
        <w:rPr>
          <w:b/>
        </w:rPr>
      </w:pPr>
      <w:r w:rsidRPr="003971FF">
        <w:rPr>
          <w:b/>
        </w:rPr>
        <w:t>__________</w:t>
      </w:r>
    </w:p>
    <w:p w14:paraId="1109FB09" w14:textId="77777777" w:rsidR="004D4D19" w:rsidRDefault="004D4D19" w:rsidP="007F38C2">
      <w:pPr>
        <w:jc w:val="center"/>
        <w:rPr>
          <w:b/>
        </w:rPr>
      </w:pPr>
    </w:p>
    <w:p w14:paraId="46F0457C"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A1FB" w14:textId="77777777" w:rsidR="00631D0B" w:rsidRDefault="00631D0B">
      <w:r>
        <w:separator/>
      </w:r>
    </w:p>
  </w:endnote>
  <w:endnote w:type="continuationSeparator" w:id="0">
    <w:p w14:paraId="031D3144" w14:textId="77777777" w:rsidR="00631D0B" w:rsidRDefault="0063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7330" w14:textId="77777777" w:rsidR="00544326" w:rsidRPr="00DD3DD7" w:rsidRDefault="00631D0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ED19" w14:textId="77777777" w:rsidR="00544326" w:rsidRPr="00DD3DD7" w:rsidRDefault="00631D0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3EA0" w14:textId="77777777" w:rsidR="004D3A6A" w:rsidRDefault="00631D0B" w:rsidP="00ED54E0">
      <w:r>
        <w:separator/>
      </w:r>
    </w:p>
  </w:footnote>
  <w:footnote w:type="continuationSeparator" w:id="0">
    <w:p w14:paraId="4F8C4C9A" w14:textId="77777777" w:rsidR="004D3A6A" w:rsidRDefault="00631D0B" w:rsidP="00ED54E0">
      <w:r>
        <w:continuationSeparator/>
      </w:r>
    </w:p>
  </w:footnote>
  <w:footnote w:id="1">
    <w:p w14:paraId="621A609D" w14:textId="77777777" w:rsidR="007F6EA2" w:rsidRDefault="00631D0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4BFA" w14:textId="77777777" w:rsidR="00DD3DD7" w:rsidRDefault="00631D0B"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E389534" w14:textId="77777777" w:rsidR="004D4D19" w:rsidRPr="00DD3DD7" w:rsidRDefault="004D4D19" w:rsidP="00DD3DD7">
    <w:pPr>
      <w:pStyle w:val="Header"/>
      <w:pBdr>
        <w:bottom w:val="single" w:sz="4" w:space="1" w:color="auto"/>
      </w:pBdr>
      <w:tabs>
        <w:tab w:val="clear" w:pos="4513"/>
        <w:tab w:val="clear" w:pos="9027"/>
      </w:tabs>
      <w:jc w:val="center"/>
    </w:pPr>
  </w:p>
  <w:p w14:paraId="3BC0CE7F" w14:textId="77777777" w:rsidR="00DD3DD7" w:rsidRPr="00DD3DD7" w:rsidRDefault="00631D0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EBEB97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D820" w14:textId="77777777" w:rsidR="00DD3DD7" w:rsidRPr="00631D0B" w:rsidRDefault="00631D0B" w:rsidP="00DD3DD7">
    <w:pPr>
      <w:pStyle w:val="Header"/>
      <w:pBdr>
        <w:bottom w:val="single" w:sz="4" w:space="1" w:color="auto"/>
      </w:pBdr>
      <w:tabs>
        <w:tab w:val="clear" w:pos="4513"/>
        <w:tab w:val="clear" w:pos="9027"/>
      </w:tabs>
      <w:jc w:val="center"/>
      <w:rPr>
        <w:lang w:val="es-ES"/>
      </w:rPr>
    </w:pPr>
    <w:bookmarkStart w:id="3" w:name="spsSymbolHeader"/>
    <w:r w:rsidRPr="00631D0B">
      <w:rPr>
        <w:lang w:val="es-ES"/>
      </w:rPr>
      <w:t>G/TBT/N/USA/2055/Add.2</w:t>
    </w:r>
    <w:bookmarkEnd w:id="3"/>
  </w:p>
  <w:p w14:paraId="1CAC2748" w14:textId="77777777" w:rsidR="00DD3DD7" w:rsidRPr="00631D0B" w:rsidRDefault="00DD3DD7" w:rsidP="00DD3DD7">
    <w:pPr>
      <w:pStyle w:val="Header"/>
      <w:pBdr>
        <w:bottom w:val="single" w:sz="4" w:space="1" w:color="auto"/>
      </w:pBdr>
      <w:tabs>
        <w:tab w:val="clear" w:pos="4513"/>
        <w:tab w:val="clear" w:pos="9027"/>
      </w:tabs>
      <w:jc w:val="center"/>
      <w:rPr>
        <w:lang w:val="es-ES"/>
      </w:rPr>
    </w:pPr>
  </w:p>
  <w:p w14:paraId="136BBEF7" w14:textId="77777777" w:rsidR="00DD3DD7" w:rsidRPr="00DD3DD7" w:rsidRDefault="00631D0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789B9F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1412" w14:paraId="0C684B58" w14:textId="77777777" w:rsidTr="00544326">
      <w:trPr>
        <w:trHeight w:val="240"/>
        <w:jc w:val="center"/>
      </w:trPr>
      <w:tc>
        <w:tcPr>
          <w:tcW w:w="3794" w:type="dxa"/>
          <w:shd w:val="clear" w:color="auto" w:fill="FFFFFF"/>
          <w:tcMar>
            <w:left w:w="108" w:type="dxa"/>
            <w:right w:w="108" w:type="dxa"/>
          </w:tcMar>
          <w:vAlign w:val="center"/>
        </w:tcPr>
        <w:p w14:paraId="4E0E4BD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580E1EF" w14:textId="77777777" w:rsidR="00ED54E0" w:rsidRPr="00182B84" w:rsidRDefault="00631D0B" w:rsidP="00425DC5">
          <w:pPr>
            <w:jc w:val="right"/>
            <w:rPr>
              <w:b/>
              <w:color w:val="FF0000"/>
              <w:szCs w:val="16"/>
            </w:rPr>
          </w:pPr>
          <w:r>
            <w:rPr>
              <w:b/>
              <w:color w:val="FF0000"/>
              <w:szCs w:val="16"/>
            </w:rPr>
            <w:t xml:space="preserve"> </w:t>
          </w:r>
        </w:p>
      </w:tc>
    </w:tr>
    <w:tr w:rsidR="00EF1412" w14:paraId="2FA3A547" w14:textId="77777777" w:rsidTr="00544326">
      <w:trPr>
        <w:trHeight w:val="213"/>
        <w:jc w:val="center"/>
      </w:trPr>
      <w:tc>
        <w:tcPr>
          <w:tcW w:w="3794" w:type="dxa"/>
          <w:vMerge w:val="restart"/>
          <w:shd w:val="clear" w:color="auto" w:fill="FFFFFF"/>
          <w:tcMar>
            <w:left w:w="0" w:type="dxa"/>
            <w:right w:w="0" w:type="dxa"/>
          </w:tcMar>
        </w:tcPr>
        <w:p w14:paraId="181F2751" w14:textId="77777777" w:rsidR="00ED54E0" w:rsidRPr="00182B84" w:rsidRDefault="00631D0B" w:rsidP="00425DC5">
          <w:pPr>
            <w:jc w:val="left"/>
          </w:pPr>
          <w:r w:rsidRPr="00182B84">
            <w:rPr>
              <w:noProof/>
              <w:lang w:val="en-US"/>
            </w:rPr>
            <w:drawing>
              <wp:inline distT="0" distB="0" distL="0" distR="0" wp14:anchorId="7E473C5A" wp14:editId="0DE33FF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762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3418AD" w14:textId="77777777" w:rsidR="00ED54E0" w:rsidRPr="00182B84" w:rsidRDefault="00ED54E0" w:rsidP="00425DC5">
          <w:pPr>
            <w:jc w:val="right"/>
            <w:rPr>
              <w:b/>
              <w:szCs w:val="16"/>
            </w:rPr>
          </w:pPr>
        </w:p>
      </w:tc>
    </w:tr>
    <w:tr w:rsidR="00EF1412" w:rsidRPr="005C2FBC" w14:paraId="56F16FD3" w14:textId="77777777" w:rsidTr="00544326">
      <w:trPr>
        <w:trHeight w:val="868"/>
        <w:jc w:val="center"/>
      </w:trPr>
      <w:tc>
        <w:tcPr>
          <w:tcW w:w="3794" w:type="dxa"/>
          <w:vMerge/>
          <w:shd w:val="clear" w:color="auto" w:fill="FFFFFF"/>
          <w:tcMar>
            <w:left w:w="108" w:type="dxa"/>
            <w:right w:w="108" w:type="dxa"/>
          </w:tcMar>
        </w:tcPr>
        <w:p w14:paraId="3408552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EB7BA7F" w14:textId="77777777" w:rsidR="00DD3DD7" w:rsidRPr="00631D0B" w:rsidRDefault="00631D0B" w:rsidP="00DD3DD7">
          <w:pPr>
            <w:jc w:val="right"/>
            <w:rPr>
              <w:rFonts w:eastAsia="Calibri" w:cs="Times New Roman"/>
              <w:b/>
              <w:szCs w:val="16"/>
              <w:lang w:val="es-ES"/>
            </w:rPr>
          </w:pPr>
          <w:bookmarkStart w:id="4" w:name="bmkSymbols"/>
          <w:r w:rsidRPr="00631D0B">
            <w:rPr>
              <w:rFonts w:eastAsia="Calibri" w:cs="Times New Roman"/>
              <w:b/>
              <w:szCs w:val="16"/>
              <w:lang w:val="es-ES"/>
            </w:rPr>
            <w:t>G/TBT/N/USA/2055/Add.2</w:t>
          </w:r>
          <w:bookmarkEnd w:id="4"/>
        </w:p>
        <w:p w14:paraId="297A613F" w14:textId="77777777" w:rsidR="00C14444" w:rsidRPr="00631D0B" w:rsidRDefault="00C14444" w:rsidP="00C14444">
          <w:pPr>
            <w:jc w:val="center"/>
            <w:rPr>
              <w:szCs w:val="16"/>
              <w:lang w:val="es-ES"/>
            </w:rPr>
          </w:pPr>
        </w:p>
      </w:tc>
    </w:tr>
    <w:tr w:rsidR="00EF1412" w:rsidRPr="00631D0B" w14:paraId="3524418D" w14:textId="77777777" w:rsidTr="00544326">
      <w:trPr>
        <w:trHeight w:val="240"/>
        <w:jc w:val="center"/>
      </w:trPr>
      <w:tc>
        <w:tcPr>
          <w:tcW w:w="3794" w:type="dxa"/>
          <w:vMerge/>
          <w:shd w:val="clear" w:color="auto" w:fill="FFFFFF"/>
          <w:tcMar>
            <w:left w:w="108" w:type="dxa"/>
            <w:right w:w="108" w:type="dxa"/>
          </w:tcMar>
          <w:vAlign w:val="center"/>
        </w:tcPr>
        <w:p w14:paraId="075BC580" w14:textId="77777777" w:rsidR="00ED54E0" w:rsidRPr="00631D0B" w:rsidRDefault="00ED54E0" w:rsidP="00425DC5">
          <w:pPr>
            <w:rPr>
              <w:lang w:val="es-ES"/>
            </w:rPr>
          </w:pPr>
        </w:p>
      </w:tc>
      <w:tc>
        <w:tcPr>
          <w:tcW w:w="5448" w:type="dxa"/>
          <w:gridSpan w:val="2"/>
          <w:shd w:val="clear" w:color="auto" w:fill="FFFFFF"/>
          <w:tcMar>
            <w:left w:w="108" w:type="dxa"/>
            <w:right w:w="108" w:type="dxa"/>
          </w:tcMar>
          <w:vAlign w:val="center"/>
        </w:tcPr>
        <w:p w14:paraId="66B47CCA" w14:textId="0927F3C4" w:rsidR="00ED54E0" w:rsidRPr="00631D0B" w:rsidRDefault="00631D0B" w:rsidP="00425DC5">
          <w:pPr>
            <w:jc w:val="right"/>
            <w:rPr>
              <w:szCs w:val="16"/>
            </w:rPr>
          </w:pPr>
          <w:bookmarkStart w:id="5" w:name="bmkDate"/>
          <w:bookmarkEnd w:id="5"/>
          <w:r w:rsidRPr="00631D0B">
            <w:rPr>
              <w:szCs w:val="16"/>
            </w:rPr>
            <w:t>17 October 2024</w:t>
          </w:r>
        </w:p>
      </w:tc>
    </w:tr>
    <w:tr w:rsidR="00EF1412" w14:paraId="4476F82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F394D7" w14:textId="72F17496" w:rsidR="00ED54E0" w:rsidRPr="00182B84" w:rsidRDefault="00631D0B"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5C2FBC">
            <w:rPr>
              <w:rFonts w:eastAsia="Calibri" w:cs="Times New Roman"/>
              <w:color w:val="FF0000"/>
              <w:szCs w:val="16"/>
            </w:rPr>
            <w:t>7305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DA1D50B" w14:textId="77777777" w:rsidR="00ED54E0" w:rsidRPr="00182B84" w:rsidRDefault="00631D0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F1412" w14:paraId="42CB129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1A3B58" w14:textId="77777777" w:rsidR="00ED54E0" w:rsidRPr="00182B84" w:rsidRDefault="00631D0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06376A3" w14:textId="77777777" w:rsidR="00ED54E0" w:rsidRPr="00182B84" w:rsidRDefault="00631D0B"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3963B9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04D9A8">
      <w:start w:val="1"/>
      <w:numFmt w:val="decimal"/>
      <w:pStyle w:val="SummaryText"/>
      <w:lvlText w:val="%1."/>
      <w:lvlJc w:val="left"/>
      <w:pPr>
        <w:ind w:left="360" w:hanging="360"/>
      </w:pPr>
    </w:lvl>
    <w:lvl w:ilvl="1" w:tplc="BD9C7996" w:tentative="1">
      <w:start w:val="1"/>
      <w:numFmt w:val="lowerLetter"/>
      <w:lvlText w:val="%2."/>
      <w:lvlJc w:val="left"/>
      <w:pPr>
        <w:ind w:left="1080" w:hanging="360"/>
      </w:pPr>
    </w:lvl>
    <w:lvl w:ilvl="2" w:tplc="F6B2D44A" w:tentative="1">
      <w:start w:val="1"/>
      <w:numFmt w:val="lowerRoman"/>
      <w:lvlText w:val="%3."/>
      <w:lvlJc w:val="right"/>
      <w:pPr>
        <w:ind w:left="1800" w:hanging="180"/>
      </w:pPr>
    </w:lvl>
    <w:lvl w:ilvl="3" w:tplc="9318A1B4" w:tentative="1">
      <w:start w:val="1"/>
      <w:numFmt w:val="decimal"/>
      <w:lvlText w:val="%4."/>
      <w:lvlJc w:val="left"/>
      <w:pPr>
        <w:ind w:left="2520" w:hanging="360"/>
      </w:pPr>
    </w:lvl>
    <w:lvl w:ilvl="4" w:tplc="2470610E" w:tentative="1">
      <w:start w:val="1"/>
      <w:numFmt w:val="lowerLetter"/>
      <w:lvlText w:val="%5."/>
      <w:lvlJc w:val="left"/>
      <w:pPr>
        <w:ind w:left="3240" w:hanging="360"/>
      </w:pPr>
    </w:lvl>
    <w:lvl w:ilvl="5" w:tplc="E41A74F4" w:tentative="1">
      <w:start w:val="1"/>
      <w:numFmt w:val="lowerRoman"/>
      <w:lvlText w:val="%6."/>
      <w:lvlJc w:val="right"/>
      <w:pPr>
        <w:ind w:left="3960" w:hanging="180"/>
      </w:pPr>
    </w:lvl>
    <w:lvl w:ilvl="6" w:tplc="4998E2D4" w:tentative="1">
      <w:start w:val="1"/>
      <w:numFmt w:val="decimal"/>
      <w:lvlText w:val="%7."/>
      <w:lvlJc w:val="left"/>
      <w:pPr>
        <w:ind w:left="4680" w:hanging="360"/>
      </w:pPr>
    </w:lvl>
    <w:lvl w:ilvl="7" w:tplc="6C021060" w:tentative="1">
      <w:start w:val="1"/>
      <w:numFmt w:val="lowerLetter"/>
      <w:lvlText w:val="%8."/>
      <w:lvlJc w:val="left"/>
      <w:pPr>
        <w:ind w:left="5400" w:hanging="360"/>
      </w:pPr>
    </w:lvl>
    <w:lvl w:ilvl="8" w:tplc="B65C7844" w:tentative="1">
      <w:start w:val="1"/>
      <w:numFmt w:val="lowerRoman"/>
      <w:lvlText w:val="%9."/>
      <w:lvlJc w:val="right"/>
      <w:pPr>
        <w:ind w:left="6120" w:hanging="180"/>
      </w:pPr>
    </w:lvl>
  </w:abstractNum>
  <w:num w:numId="1" w16cid:durableId="1558974528">
    <w:abstractNumId w:val="9"/>
  </w:num>
  <w:num w:numId="2" w16cid:durableId="1105033366">
    <w:abstractNumId w:val="7"/>
  </w:num>
  <w:num w:numId="3" w16cid:durableId="926421681">
    <w:abstractNumId w:val="6"/>
  </w:num>
  <w:num w:numId="4" w16cid:durableId="1185677460">
    <w:abstractNumId w:val="5"/>
  </w:num>
  <w:num w:numId="5" w16cid:durableId="1066301648">
    <w:abstractNumId w:val="4"/>
  </w:num>
  <w:num w:numId="6" w16cid:durableId="953513929">
    <w:abstractNumId w:val="12"/>
  </w:num>
  <w:num w:numId="7" w16cid:durableId="1181352253">
    <w:abstractNumId w:val="11"/>
  </w:num>
  <w:num w:numId="8" w16cid:durableId="1844203382">
    <w:abstractNumId w:val="10"/>
  </w:num>
  <w:num w:numId="9" w16cid:durableId="95760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0644652">
    <w:abstractNumId w:val="13"/>
  </w:num>
  <w:num w:numId="11" w16cid:durableId="498664913">
    <w:abstractNumId w:val="8"/>
  </w:num>
  <w:num w:numId="12" w16cid:durableId="1757166476">
    <w:abstractNumId w:val="3"/>
  </w:num>
  <w:num w:numId="13" w16cid:durableId="422647592">
    <w:abstractNumId w:val="2"/>
  </w:num>
  <w:num w:numId="14" w16cid:durableId="27536249">
    <w:abstractNumId w:val="1"/>
  </w:num>
  <w:num w:numId="15" w16cid:durableId="994452793">
    <w:abstractNumId w:val="0"/>
  </w:num>
  <w:num w:numId="16" w16cid:durableId="176017360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05813"/>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2FBC"/>
    <w:rsid w:val="005C353B"/>
    <w:rsid w:val="005C6920"/>
    <w:rsid w:val="005D5981"/>
    <w:rsid w:val="005F30CB"/>
    <w:rsid w:val="00612644"/>
    <w:rsid w:val="00615DE8"/>
    <w:rsid w:val="00620F21"/>
    <w:rsid w:val="0062527B"/>
    <w:rsid w:val="00631D0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126F"/>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1412"/>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3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0-15/pdf/2024-22823.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vinfo.gov/content/pkg/FR-2024-10-15/html/2024-22823.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0/chapter-I/subchapter-C/part-60" TargetMode="External"/><Relationship Id="rId5" Type="http://schemas.openxmlformats.org/officeDocument/2006/relationships/settings" Target="settings.xml"/><Relationship Id="rId15" Type="http://schemas.openxmlformats.org/officeDocument/2006/relationships/hyperlink" Target="https://www.regulations.gov/docket/EPA-HQ-OAR-2023-0358/document" TargetMode="External"/><Relationship Id="rId23" Type="http://schemas.openxmlformats.org/officeDocument/2006/relationships/theme" Target="theme/theme1.xml"/><Relationship Id="rId10" Type="http://schemas.openxmlformats.org/officeDocument/2006/relationships/hyperlink" Target="https://www.epa.gov/laws-regulations/summary-clean-air-ac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mbers.wto.org/crnattachments/2024/TBT/USA/final_measure/24_06919_00_e.pdf" TargetMode="External"/><Relationship Id="rId14" Type="http://schemas.openxmlformats.org/officeDocument/2006/relationships/hyperlink" Target="https://eping.wto.org/en/Search?domainIds=1&amp;documentSymbol=usa%2F2055"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4EC677A8-F623-4FB2-BCA6-95C942B8C6D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2024-10-17T12:53:00Z</dcterms:created>
  <dcterms:modified xsi:type="dcterms:W3CDTF">2024-10-17T13:43:00Z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