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F221" w14:textId="77777777" w:rsidR="002D78C9" w:rsidRDefault="00DC5A87" w:rsidP="00DD3DD7">
      <w:pPr>
        <w:pStyle w:val="Title"/>
      </w:pPr>
      <w:r w:rsidRPr="002F663C">
        <w:t>NOTIFICATION</w:t>
      </w:r>
    </w:p>
    <w:p w14:paraId="404AB96D" w14:textId="77777777" w:rsidR="002F663C" w:rsidRPr="002F663C" w:rsidRDefault="00DC5A87" w:rsidP="00DD3DD7">
      <w:pPr>
        <w:pStyle w:val="Title3"/>
      </w:pPr>
      <w:r w:rsidRPr="002F663C">
        <w:t>Addendum</w:t>
      </w:r>
    </w:p>
    <w:p w14:paraId="0DB8518F" w14:textId="77777777" w:rsidR="002F663C" w:rsidRDefault="00DC5A8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7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31D8EF2" w14:textId="77777777" w:rsidR="001E2E4A" w:rsidRPr="002F663C" w:rsidRDefault="001E2E4A" w:rsidP="001E2E4A">
      <w:pPr>
        <w:rPr>
          <w:rFonts w:eastAsia="Calibri" w:cs="Times New Roman"/>
        </w:rPr>
      </w:pPr>
    </w:p>
    <w:p w14:paraId="5001DC5D" w14:textId="77777777" w:rsidR="002F663C" w:rsidRPr="002F663C" w:rsidRDefault="00DC5A87" w:rsidP="002F663C">
      <w:pPr>
        <w:jc w:val="center"/>
        <w:rPr>
          <w:rFonts w:eastAsia="Calibri" w:cs="Times New Roman"/>
          <w:b/>
        </w:rPr>
      </w:pPr>
      <w:r w:rsidRPr="002F663C">
        <w:rPr>
          <w:rFonts w:eastAsia="Calibri" w:cs="Times New Roman"/>
          <w:b/>
        </w:rPr>
        <w:t>_______________</w:t>
      </w:r>
    </w:p>
    <w:p w14:paraId="726FBEC3" w14:textId="77777777" w:rsidR="002F663C" w:rsidRDefault="002F663C" w:rsidP="002F663C">
      <w:pPr>
        <w:rPr>
          <w:rFonts w:eastAsia="Calibri" w:cs="Times New Roman"/>
        </w:rPr>
      </w:pPr>
    </w:p>
    <w:p w14:paraId="43F63D05" w14:textId="77777777" w:rsidR="00C14444" w:rsidRPr="002F663C" w:rsidRDefault="00C14444" w:rsidP="002F663C">
      <w:pPr>
        <w:rPr>
          <w:rFonts w:eastAsia="Calibri" w:cs="Times New Roman"/>
        </w:rPr>
      </w:pPr>
    </w:p>
    <w:p w14:paraId="588FBE29" w14:textId="77777777" w:rsidR="002F663C" w:rsidRPr="002F663C" w:rsidRDefault="00DC5A8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Medical Devices; Laboratory Developed Tests</w:t>
      </w:r>
      <w:bookmarkEnd w:id="3"/>
    </w:p>
    <w:p w14:paraId="1D7F007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E370A" w14:paraId="6BA47CB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C419958" w14:textId="77777777" w:rsidR="002F663C" w:rsidRPr="002F663C" w:rsidRDefault="00DC5A8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E370A" w14:paraId="48736141" w14:textId="77777777" w:rsidTr="00E9471B">
        <w:tc>
          <w:tcPr>
            <w:tcW w:w="851" w:type="dxa"/>
            <w:shd w:val="clear" w:color="auto" w:fill="auto"/>
          </w:tcPr>
          <w:p w14:paraId="205157B7" w14:textId="77777777" w:rsidR="002F663C" w:rsidRPr="00711F9C" w:rsidRDefault="00DC5A8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B9EDC39" w14:textId="77777777" w:rsidR="002F663C" w:rsidRPr="002F663C" w:rsidRDefault="00DC5A8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E370A" w14:paraId="06C5DF56" w14:textId="77777777" w:rsidTr="00E9471B">
        <w:tc>
          <w:tcPr>
            <w:tcW w:w="851" w:type="dxa"/>
            <w:shd w:val="clear" w:color="auto" w:fill="auto"/>
          </w:tcPr>
          <w:p w14:paraId="0D66DFD8"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EA62428" w14:textId="77777777" w:rsidR="002F663C" w:rsidRPr="002F663C" w:rsidRDefault="00DC5A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E370A" w14:paraId="21238E40" w14:textId="77777777" w:rsidTr="00E9471B">
        <w:tc>
          <w:tcPr>
            <w:tcW w:w="851" w:type="dxa"/>
            <w:shd w:val="clear" w:color="auto" w:fill="auto"/>
          </w:tcPr>
          <w:p w14:paraId="7015A0AF"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8C24D7E" w14:textId="77777777" w:rsidR="002F663C" w:rsidRPr="002F663C" w:rsidRDefault="00DC5A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May 2024</w:t>
            </w:r>
            <w:bookmarkEnd w:id="10"/>
          </w:p>
        </w:tc>
      </w:tr>
      <w:tr w:rsidR="004E370A" w14:paraId="01C102EE" w14:textId="77777777" w:rsidTr="00E9471B">
        <w:tc>
          <w:tcPr>
            <w:tcW w:w="851" w:type="dxa"/>
            <w:shd w:val="clear" w:color="auto" w:fill="auto"/>
          </w:tcPr>
          <w:p w14:paraId="6C14FEEB"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C847D1F" w14:textId="77777777" w:rsidR="002F663C" w:rsidRPr="002F663C" w:rsidRDefault="00DC5A8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5 July 2024</w:t>
            </w:r>
            <w:bookmarkEnd w:id="12"/>
          </w:p>
        </w:tc>
      </w:tr>
      <w:tr w:rsidR="004E370A" w14:paraId="23461673" w14:textId="77777777" w:rsidTr="00E9471B">
        <w:tc>
          <w:tcPr>
            <w:tcW w:w="851" w:type="dxa"/>
            <w:shd w:val="clear" w:color="auto" w:fill="auto"/>
          </w:tcPr>
          <w:p w14:paraId="649A10E4"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586F006" w14:textId="77777777" w:rsidR="002F663C" w:rsidRPr="002F663C" w:rsidRDefault="00DC5A8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4B2BD98" w14:textId="77777777" w:rsidR="002F663C" w:rsidRPr="002F663C" w:rsidRDefault="00DC5A87" w:rsidP="00EB7B40">
            <w:pPr>
              <w:spacing w:before="120" w:after="120"/>
              <w:rPr>
                <w:rFonts w:eastAsia="Calibri" w:cs="Times New Roman"/>
              </w:rPr>
            </w:pPr>
            <w:r w:rsidRPr="002F663C">
              <w:rPr>
                <w:rFonts w:eastAsia="Calibri" w:cs="Times New Roman"/>
              </w:rPr>
              <w:t>89 Federal Register (FR) 37286, Title 21 Code of Federal Regulations (CFR) Part 809:</w:t>
            </w:r>
          </w:p>
          <w:p w14:paraId="78203885" w14:textId="77777777" w:rsidR="002F663C" w:rsidRPr="002F663C" w:rsidRDefault="00FA0E66" w:rsidP="00EB7B40">
            <w:pPr>
              <w:spacing w:before="120" w:after="120"/>
              <w:rPr>
                <w:rFonts w:eastAsia="Calibri" w:cs="Times New Roman"/>
              </w:rPr>
            </w:pPr>
            <w:hyperlink r:id="rId9" w:tgtFrame="_blank" w:history="1">
              <w:r w:rsidR="00DC5A87" w:rsidRPr="002F663C">
                <w:rPr>
                  <w:rFonts w:eastAsia="Calibri" w:cs="Times New Roman"/>
                  <w:color w:val="0000FF"/>
                  <w:u w:val="single"/>
                </w:rPr>
                <w:t>https://www.govinfo.gov/content/pkg/FR-2024-05-06/html/2024-08935.htm</w:t>
              </w:r>
            </w:hyperlink>
          </w:p>
          <w:p w14:paraId="07255163" w14:textId="77777777" w:rsidR="002F663C" w:rsidRPr="002F663C" w:rsidRDefault="00FA0E66" w:rsidP="00EB7B40">
            <w:pPr>
              <w:spacing w:before="120" w:after="120"/>
              <w:rPr>
                <w:rFonts w:eastAsia="Calibri" w:cs="Times New Roman"/>
              </w:rPr>
            </w:pPr>
            <w:hyperlink r:id="rId10" w:tgtFrame="_blank" w:history="1">
              <w:r w:rsidR="00DC5A87" w:rsidRPr="002F663C">
                <w:rPr>
                  <w:rFonts w:eastAsia="Calibri" w:cs="Times New Roman"/>
                  <w:color w:val="0000FF"/>
                  <w:u w:val="single"/>
                </w:rPr>
                <w:t>https://www.govinfo.gov/content/pkg/FR-2024-05-06/pdf/2024-08935.pdf</w:t>
              </w:r>
            </w:hyperlink>
          </w:p>
          <w:p w14:paraId="3DAFFB3D" w14:textId="77777777" w:rsidR="002F663C" w:rsidRPr="002F663C" w:rsidRDefault="00FA0E66" w:rsidP="00EB7B40">
            <w:pPr>
              <w:spacing w:before="120" w:after="120"/>
              <w:rPr>
                <w:rFonts w:eastAsia="Calibri" w:cs="Times New Roman"/>
              </w:rPr>
            </w:pPr>
            <w:hyperlink r:id="rId11" w:tgtFrame="_blank" w:history="1">
              <w:r w:rsidR="00DC5A87" w:rsidRPr="002F663C">
                <w:rPr>
                  <w:rFonts w:eastAsia="Calibri" w:cs="Times New Roman"/>
                  <w:color w:val="0000FF"/>
                  <w:u w:val="single"/>
                </w:rPr>
                <w:t>https://members.wto.org/crnattachments/2024/TBT/USA/final_measure/24_03122_00_e.pdf</w:t>
              </w:r>
            </w:hyperlink>
            <w:bookmarkEnd w:id="15"/>
          </w:p>
        </w:tc>
      </w:tr>
      <w:tr w:rsidR="004E370A" w14:paraId="7D9CD1A0" w14:textId="77777777" w:rsidTr="00E9471B">
        <w:tc>
          <w:tcPr>
            <w:tcW w:w="851" w:type="dxa"/>
            <w:shd w:val="clear" w:color="auto" w:fill="auto"/>
          </w:tcPr>
          <w:p w14:paraId="52D7F199"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15C60C9" w14:textId="77777777" w:rsidR="002F663C" w:rsidRPr="002F663C" w:rsidRDefault="00DC5A8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FF9CF92" w14:textId="77777777" w:rsidR="002F663C" w:rsidRPr="002F663C" w:rsidRDefault="00DC5A8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E370A" w14:paraId="41314A2B" w14:textId="77777777" w:rsidTr="00E9471B">
        <w:tc>
          <w:tcPr>
            <w:tcW w:w="851" w:type="dxa"/>
            <w:shd w:val="clear" w:color="auto" w:fill="auto"/>
          </w:tcPr>
          <w:p w14:paraId="0422F32C" w14:textId="77777777" w:rsidR="002F663C" w:rsidRPr="00711F9C" w:rsidRDefault="00DC5A8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BD77ED4" w14:textId="77777777" w:rsidR="002F663C" w:rsidRPr="002F663C" w:rsidRDefault="00DC5A8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5296C6D" w14:textId="77777777" w:rsidR="002F663C" w:rsidRPr="002F663C" w:rsidRDefault="00DC5A8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E370A" w14:paraId="4D08BAC2" w14:textId="77777777" w:rsidTr="00E9471B">
        <w:tc>
          <w:tcPr>
            <w:tcW w:w="851" w:type="dxa"/>
            <w:shd w:val="clear" w:color="auto" w:fill="auto"/>
          </w:tcPr>
          <w:p w14:paraId="1AF732C8" w14:textId="77777777" w:rsidR="002F663C" w:rsidRPr="00711F9C" w:rsidRDefault="00DC5A8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863F05C" w14:textId="77777777" w:rsidR="002F663C" w:rsidRPr="002F663C" w:rsidRDefault="00DC5A8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E370A" w14:paraId="4A24419B" w14:textId="77777777" w:rsidTr="00E9471B">
        <w:tc>
          <w:tcPr>
            <w:tcW w:w="851" w:type="dxa"/>
            <w:tcBorders>
              <w:bottom w:val="double" w:sz="4" w:space="0" w:color="auto"/>
            </w:tcBorders>
            <w:shd w:val="clear" w:color="auto" w:fill="auto"/>
          </w:tcPr>
          <w:p w14:paraId="62F18D4D" w14:textId="77777777" w:rsidR="002F663C" w:rsidRPr="00711F9C" w:rsidRDefault="00DC5A8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7C6A13B" w14:textId="77777777" w:rsidR="002F663C" w:rsidRPr="002F663C" w:rsidRDefault="00DC5A8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BF5A3BC" w14:textId="77777777" w:rsidR="002F663C" w:rsidRPr="002F663C" w:rsidRDefault="002F663C" w:rsidP="002F663C">
      <w:pPr>
        <w:jc w:val="left"/>
        <w:rPr>
          <w:rFonts w:eastAsia="Calibri" w:cs="Times New Roman"/>
          <w:highlight w:val="yellow"/>
        </w:rPr>
      </w:pPr>
    </w:p>
    <w:p w14:paraId="499747A0" w14:textId="77777777" w:rsidR="003971FF" w:rsidRPr="007F6EA2" w:rsidRDefault="00DC5A8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Food and Drug Administration is issuing a final rule to amend its regulations to make explicit that in vitro diagnostic products (IVDs) are devices under the Federal Food, Drug, and Cosmetic Act (</w:t>
      </w:r>
      <w:hyperlink r:id="rId12" w:history="1">
        <w:r w:rsidRPr="002F663C">
          <w:rPr>
            <w:rFonts w:eastAsia="Calibri" w:cs="Times New Roman"/>
            <w:color w:val="0000FF"/>
            <w:szCs w:val="18"/>
            <w:u w:val="single"/>
          </w:rPr>
          <w:t>FD&amp;C Act</w:t>
        </w:r>
      </w:hyperlink>
      <w:r w:rsidRPr="002F663C">
        <w:rPr>
          <w:rFonts w:eastAsia="Calibri" w:cs="Times New Roman"/>
          <w:szCs w:val="18"/>
        </w:rPr>
        <w:t xml:space="preserve">) including when the manufacturer of the IVD is a laboratory. In conjunction with this amendment, the Food and Drug Administration is phasing out its general enforcement discretion approach for laboratory developed tests (LDTs) so that IVDs manufactured by a laboratory will generally fall under the same enforcement approach as other IVDs. This phaseout policy includes enforcement discretion policies for specific categories of IVDs manufactured by a laboratory, including currently marketed IVDs offered as LDTs and LDTs for unmet needs. This phaseout policy is intended to better protect the public health by helping to assure the safety and effectiveness of </w:t>
      </w:r>
      <w:r w:rsidRPr="002F663C">
        <w:rPr>
          <w:rFonts w:eastAsia="Calibri" w:cs="Times New Roman"/>
          <w:szCs w:val="18"/>
        </w:rPr>
        <w:lastRenderedPageBreak/>
        <w:t>IVDs offered as LDTs, while also accounting for other important public health considerations such as patient access and reliance.</w:t>
      </w:r>
    </w:p>
    <w:p w14:paraId="4BA3A75B" w14:textId="77777777" w:rsidR="00182B68" w:rsidRPr="002F663C" w:rsidRDefault="00DC5A87" w:rsidP="00B16ACF">
      <w:pPr>
        <w:spacing w:before="120" w:after="120"/>
        <w:rPr>
          <w:rFonts w:eastAsia="Calibri" w:cs="Times New Roman"/>
          <w:szCs w:val="18"/>
        </w:rPr>
      </w:pPr>
      <w:r w:rsidRPr="002F663C">
        <w:rPr>
          <w:rFonts w:eastAsia="Calibri" w:cs="Times New Roman"/>
          <w:szCs w:val="18"/>
        </w:rPr>
        <w:t>This rule is effective 5 July 2024.</w:t>
      </w:r>
    </w:p>
    <w:p w14:paraId="60582CEB" w14:textId="77777777" w:rsidR="00182B68" w:rsidRPr="002F663C" w:rsidRDefault="00FA0E66" w:rsidP="00B16ACF">
      <w:pPr>
        <w:spacing w:before="120" w:after="120"/>
        <w:rPr>
          <w:rFonts w:eastAsia="Calibri" w:cs="Times New Roman"/>
          <w:szCs w:val="18"/>
        </w:rPr>
      </w:pPr>
      <w:hyperlink r:id="rId13" w:history="1">
        <w:r w:rsidR="00DC5A87" w:rsidRPr="002F663C">
          <w:rPr>
            <w:rFonts w:eastAsia="Calibri" w:cs="Times New Roman"/>
            <w:color w:val="0000FF"/>
            <w:szCs w:val="18"/>
            <w:u w:val="single"/>
          </w:rPr>
          <w:t>Title 21 Code of Federal Regulations (CFR) Part 809</w:t>
        </w:r>
      </w:hyperlink>
    </w:p>
    <w:p w14:paraId="31C00B90" w14:textId="77777777" w:rsidR="00182B68" w:rsidRPr="002F663C" w:rsidRDefault="00DC5A87"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4" w:history="1">
        <w:r w:rsidRPr="002F663C">
          <w:rPr>
            <w:rFonts w:eastAsia="Calibri" w:cs="Times New Roman"/>
            <w:color w:val="0000FF"/>
            <w:szCs w:val="18"/>
            <w:u w:val="single"/>
          </w:rPr>
          <w:t>G/TBT/N/USA/2054</w:t>
        </w:r>
      </w:hyperlink>
      <w:r w:rsidRPr="002F663C">
        <w:rPr>
          <w:rFonts w:eastAsia="Calibri" w:cs="Times New Roman"/>
          <w:szCs w:val="18"/>
        </w:rPr>
        <w:t xml:space="preserve"> are identified by Docket Number FDA-2023-N-2177. The Docket Folder is available on Regulations.gov at </w:t>
      </w:r>
      <w:hyperlink r:id="rId15" w:history="1">
        <w:r w:rsidRPr="002F663C">
          <w:rPr>
            <w:rFonts w:eastAsia="Calibri" w:cs="Times New Roman"/>
            <w:color w:val="0000FF"/>
            <w:szCs w:val="18"/>
            <w:u w:val="single"/>
          </w:rPr>
          <w:t>https://www.regulations.gov/docket/FDA-2023-N-2177/document</w:t>
        </w:r>
      </w:hyperlink>
      <w:r w:rsidRPr="002F663C">
        <w:rPr>
          <w:rFonts w:eastAsia="Calibri" w:cs="Times New Roman"/>
          <w:szCs w:val="18"/>
        </w:rPr>
        <w:t xml:space="preserve"> and provides access to primary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2F886523" w14:textId="77777777" w:rsidR="006C5A96" w:rsidRDefault="00DC5A87" w:rsidP="006C5A96">
      <w:pPr>
        <w:jc w:val="center"/>
        <w:rPr>
          <w:b/>
        </w:rPr>
      </w:pPr>
      <w:r w:rsidRPr="003971FF">
        <w:rPr>
          <w:b/>
        </w:rPr>
        <w:t>__________</w:t>
      </w:r>
    </w:p>
    <w:p w14:paraId="1E9CB0AE" w14:textId="77777777" w:rsidR="004D4D19" w:rsidRDefault="004D4D19" w:rsidP="007F38C2">
      <w:pPr>
        <w:jc w:val="center"/>
        <w:rPr>
          <w:b/>
        </w:rPr>
      </w:pPr>
    </w:p>
    <w:p w14:paraId="7C32C931"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1D1A" w14:textId="77777777" w:rsidR="00DC5A87" w:rsidRDefault="00DC5A87">
      <w:r>
        <w:separator/>
      </w:r>
    </w:p>
  </w:endnote>
  <w:endnote w:type="continuationSeparator" w:id="0">
    <w:p w14:paraId="00877544" w14:textId="77777777" w:rsidR="00DC5A87" w:rsidRDefault="00DC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B18F" w14:textId="77777777" w:rsidR="00544326" w:rsidRPr="00DD3DD7" w:rsidRDefault="00DC5A8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E97B" w14:textId="77777777" w:rsidR="00544326" w:rsidRPr="00DD3DD7" w:rsidRDefault="00DC5A8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C1BF" w14:textId="77777777" w:rsidR="00FA0E66" w:rsidRDefault="00FA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1821" w14:textId="77777777" w:rsidR="000248E6" w:rsidRDefault="00DC5A87" w:rsidP="00ED54E0">
      <w:r>
        <w:separator/>
      </w:r>
    </w:p>
  </w:footnote>
  <w:footnote w:type="continuationSeparator" w:id="0">
    <w:p w14:paraId="6EB27A6A" w14:textId="77777777" w:rsidR="000248E6" w:rsidRDefault="00DC5A87" w:rsidP="00ED54E0">
      <w:r>
        <w:continuationSeparator/>
      </w:r>
    </w:p>
  </w:footnote>
  <w:footnote w:id="1">
    <w:p w14:paraId="65313066" w14:textId="77777777" w:rsidR="007F6EA2" w:rsidRDefault="00DC5A8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71BC" w14:textId="77777777" w:rsidR="00DD3DD7" w:rsidRDefault="00DC5A8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4A1E833" w14:textId="77777777" w:rsidR="004D4D19" w:rsidRPr="00DD3DD7" w:rsidRDefault="004D4D19" w:rsidP="00DD3DD7">
    <w:pPr>
      <w:pStyle w:val="Header"/>
      <w:pBdr>
        <w:bottom w:val="single" w:sz="4" w:space="1" w:color="auto"/>
      </w:pBdr>
      <w:tabs>
        <w:tab w:val="clear" w:pos="4513"/>
        <w:tab w:val="clear" w:pos="9027"/>
      </w:tabs>
      <w:jc w:val="center"/>
    </w:pPr>
  </w:p>
  <w:p w14:paraId="0255E17F" w14:textId="77777777" w:rsidR="00DD3DD7" w:rsidRPr="00DD3DD7" w:rsidRDefault="00DC5A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3B8671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75BB" w14:textId="77777777" w:rsidR="00DD3DD7" w:rsidRPr="00DD3DD7" w:rsidRDefault="00DC5A87" w:rsidP="00DD3DD7">
    <w:pPr>
      <w:pStyle w:val="Header"/>
      <w:pBdr>
        <w:bottom w:val="single" w:sz="4" w:space="1" w:color="auto"/>
      </w:pBdr>
      <w:tabs>
        <w:tab w:val="clear" w:pos="4513"/>
        <w:tab w:val="clear" w:pos="9027"/>
      </w:tabs>
      <w:jc w:val="center"/>
    </w:pPr>
    <w:bookmarkStart w:id="28" w:name="spsSymbolHeader"/>
    <w:r w:rsidRPr="00DD3DD7">
      <w:t>G/TBT/N/USA/2054/Add.1</w:t>
    </w:r>
    <w:bookmarkEnd w:id="28"/>
  </w:p>
  <w:p w14:paraId="3C1A6784" w14:textId="77777777" w:rsidR="00DD3DD7" w:rsidRPr="00DD3DD7" w:rsidRDefault="00DD3DD7" w:rsidP="00DD3DD7">
    <w:pPr>
      <w:pStyle w:val="Header"/>
      <w:pBdr>
        <w:bottom w:val="single" w:sz="4" w:space="1" w:color="auto"/>
      </w:pBdr>
      <w:tabs>
        <w:tab w:val="clear" w:pos="4513"/>
        <w:tab w:val="clear" w:pos="9027"/>
      </w:tabs>
      <w:jc w:val="center"/>
    </w:pPr>
  </w:p>
  <w:p w14:paraId="5C0211F6" w14:textId="77777777" w:rsidR="00DD3DD7" w:rsidRPr="00DD3DD7" w:rsidRDefault="00DC5A8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77F07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370A" w14:paraId="54EE3899" w14:textId="77777777" w:rsidTr="00544326">
      <w:trPr>
        <w:trHeight w:val="240"/>
        <w:jc w:val="center"/>
      </w:trPr>
      <w:tc>
        <w:tcPr>
          <w:tcW w:w="3794" w:type="dxa"/>
          <w:shd w:val="clear" w:color="auto" w:fill="FFFFFF"/>
          <w:tcMar>
            <w:left w:w="108" w:type="dxa"/>
            <w:right w:w="108" w:type="dxa"/>
          </w:tcMar>
          <w:vAlign w:val="center"/>
        </w:tcPr>
        <w:p w14:paraId="2BC77AC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EBD0825" w14:textId="77777777" w:rsidR="00ED54E0" w:rsidRPr="00182B84" w:rsidRDefault="00DC5A87" w:rsidP="00425DC5">
          <w:pPr>
            <w:jc w:val="right"/>
            <w:rPr>
              <w:b/>
              <w:color w:val="FF0000"/>
              <w:szCs w:val="16"/>
            </w:rPr>
          </w:pPr>
          <w:r>
            <w:rPr>
              <w:b/>
              <w:color w:val="FF0000"/>
              <w:szCs w:val="16"/>
            </w:rPr>
            <w:t xml:space="preserve"> </w:t>
          </w:r>
        </w:p>
      </w:tc>
    </w:tr>
    <w:tr w:rsidR="004E370A" w14:paraId="2F46860B" w14:textId="77777777" w:rsidTr="00544326">
      <w:trPr>
        <w:trHeight w:val="213"/>
        <w:jc w:val="center"/>
      </w:trPr>
      <w:tc>
        <w:tcPr>
          <w:tcW w:w="3794" w:type="dxa"/>
          <w:vMerge w:val="restart"/>
          <w:shd w:val="clear" w:color="auto" w:fill="FFFFFF"/>
          <w:tcMar>
            <w:left w:w="0" w:type="dxa"/>
            <w:right w:w="0" w:type="dxa"/>
          </w:tcMar>
        </w:tcPr>
        <w:p w14:paraId="51FE3885" w14:textId="77777777" w:rsidR="00ED54E0" w:rsidRPr="00182B84" w:rsidRDefault="00DC5A87" w:rsidP="00425DC5">
          <w:pPr>
            <w:jc w:val="left"/>
          </w:pPr>
          <w:r w:rsidRPr="00182B84">
            <w:rPr>
              <w:noProof/>
              <w:lang w:val="en-US"/>
            </w:rPr>
            <w:drawing>
              <wp:inline distT="0" distB="0" distL="0" distR="0" wp14:anchorId="02248DE8" wp14:editId="4F64B2E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448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CB3896" w14:textId="77777777" w:rsidR="00ED54E0" w:rsidRPr="00182B84" w:rsidRDefault="00ED54E0" w:rsidP="00425DC5">
          <w:pPr>
            <w:jc w:val="right"/>
            <w:rPr>
              <w:b/>
              <w:szCs w:val="16"/>
            </w:rPr>
          </w:pPr>
        </w:p>
      </w:tc>
    </w:tr>
    <w:tr w:rsidR="004E370A" w14:paraId="1A6F4D8A" w14:textId="77777777" w:rsidTr="00544326">
      <w:trPr>
        <w:trHeight w:val="868"/>
        <w:jc w:val="center"/>
      </w:trPr>
      <w:tc>
        <w:tcPr>
          <w:tcW w:w="3794" w:type="dxa"/>
          <w:vMerge/>
          <w:shd w:val="clear" w:color="auto" w:fill="FFFFFF"/>
          <w:tcMar>
            <w:left w:w="108" w:type="dxa"/>
            <w:right w:w="108" w:type="dxa"/>
          </w:tcMar>
        </w:tcPr>
        <w:p w14:paraId="3F912CA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F6A3E7C" w14:textId="77777777" w:rsidR="00DD3DD7" w:rsidRPr="002F663C" w:rsidRDefault="00DC5A87" w:rsidP="00DD3DD7">
          <w:pPr>
            <w:jc w:val="right"/>
            <w:rPr>
              <w:rFonts w:eastAsia="Calibri" w:cs="Times New Roman"/>
              <w:b/>
              <w:szCs w:val="16"/>
            </w:rPr>
          </w:pPr>
          <w:bookmarkStart w:id="29" w:name="bmkSymbols"/>
          <w:r w:rsidRPr="002F663C">
            <w:rPr>
              <w:rFonts w:eastAsia="Calibri" w:cs="Times New Roman"/>
              <w:b/>
              <w:szCs w:val="16"/>
            </w:rPr>
            <w:t>G/TBT/N/USA/2054/Add.1</w:t>
          </w:r>
          <w:bookmarkEnd w:id="29"/>
        </w:p>
        <w:p w14:paraId="69EBE9A5" w14:textId="77777777" w:rsidR="00C14444" w:rsidRPr="00C14444" w:rsidRDefault="00C14444" w:rsidP="00C14444">
          <w:pPr>
            <w:jc w:val="center"/>
            <w:rPr>
              <w:szCs w:val="16"/>
            </w:rPr>
          </w:pPr>
        </w:p>
      </w:tc>
    </w:tr>
    <w:tr w:rsidR="004E370A" w14:paraId="7D205FAB" w14:textId="77777777" w:rsidTr="00544326">
      <w:trPr>
        <w:trHeight w:val="240"/>
        <w:jc w:val="center"/>
      </w:trPr>
      <w:tc>
        <w:tcPr>
          <w:tcW w:w="3794" w:type="dxa"/>
          <w:vMerge/>
          <w:shd w:val="clear" w:color="auto" w:fill="FFFFFF"/>
          <w:tcMar>
            <w:left w:w="108" w:type="dxa"/>
            <w:right w:w="108" w:type="dxa"/>
          </w:tcMar>
          <w:vAlign w:val="center"/>
        </w:tcPr>
        <w:p w14:paraId="3AFE5E81" w14:textId="77777777" w:rsidR="00ED54E0" w:rsidRPr="00182B84" w:rsidRDefault="00ED54E0" w:rsidP="00425DC5"/>
      </w:tc>
      <w:tc>
        <w:tcPr>
          <w:tcW w:w="5448" w:type="dxa"/>
          <w:gridSpan w:val="2"/>
          <w:shd w:val="clear" w:color="auto" w:fill="FFFFFF"/>
          <w:tcMar>
            <w:left w:w="108" w:type="dxa"/>
            <w:right w:w="108" w:type="dxa"/>
          </w:tcMar>
          <w:vAlign w:val="center"/>
        </w:tcPr>
        <w:p w14:paraId="4B7C5D9E" w14:textId="6FC24935" w:rsidR="00ED54E0" w:rsidRPr="00182B84" w:rsidRDefault="00DC5A87" w:rsidP="00425DC5">
          <w:pPr>
            <w:jc w:val="right"/>
            <w:rPr>
              <w:szCs w:val="16"/>
            </w:rPr>
          </w:pPr>
          <w:bookmarkStart w:id="30" w:name="bmkDate"/>
          <w:bookmarkEnd w:id="30"/>
          <w:r>
            <w:rPr>
              <w:szCs w:val="16"/>
            </w:rPr>
            <w:t>7 May 2024</w:t>
          </w:r>
        </w:p>
      </w:tc>
    </w:tr>
    <w:tr w:rsidR="004E370A" w14:paraId="2C2DFE9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032B30" w14:textId="2C08B242" w:rsidR="00ED54E0" w:rsidRPr="00182B84" w:rsidRDefault="00DC5A8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FA0E66">
            <w:rPr>
              <w:rFonts w:eastAsia="Calibri" w:cs="Times New Roman"/>
              <w:color w:val="FF0000"/>
              <w:szCs w:val="16"/>
            </w:rPr>
            <w:t>3621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A9CCB3F" w14:textId="77777777" w:rsidR="00ED54E0" w:rsidRPr="00182B84" w:rsidRDefault="00DC5A8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E370A" w14:paraId="7B900E0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8BA982" w14:textId="77777777" w:rsidR="00ED54E0" w:rsidRPr="00182B84" w:rsidRDefault="00DC5A8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7F2E034" w14:textId="77777777" w:rsidR="00ED54E0" w:rsidRPr="00182B84" w:rsidRDefault="00DC5A8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076BB9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F43704">
      <w:start w:val="1"/>
      <w:numFmt w:val="decimal"/>
      <w:pStyle w:val="SummaryText"/>
      <w:lvlText w:val="%1."/>
      <w:lvlJc w:val="left"/>
      <w:pPr>
        <w:ind w:left="360" w:hanging="360"/>
      </w:pPr>
    </w:lvl>
    <w:lvl w:ilvl="1" w:tplc="1FDCAA1C" w:tentative="1">
      <w:start w:val="1"/>
      <w:numFmt w:val="lowerLetter"/>
      <w:lvlText w:val="%2."/>
      <w:lvlJc w:val="left"/>
      <w:pPr>
        <w:ind w:left="1080" w:hanging="360"/>
      </w:pPr>
    </w:lvl>
    <w:lvl w:ilvl="2" w:tplc="8ED4CAE2" w:tentative="1">
      <w:start w:val="1"/>
      <w:numFmt w:val="lowerRoman"/>
      <w:lvlText w:val="%3."/>
      <w:lvlJc w:val="right"/>
      <w:pPr>
        <w:ind w:left="1800" w:hanging="180"/>
      </w:pPr>
    </w:lvl>
    <w:lvl w:ilvl="3" w:tplc="BB728ABE" w:tentative="1">
      <w:start w:val="1"/>
      <w:numFmt w:val="decimal"/>
      <w:lvlText w:val="%4."/>
      <w:lvlJc w:val="left"/>
      <w:pPr>
        <w:ind w:left="2520" w:hanging="360"/>
      </w:pPr>
    </w:lvl>
    <w:lvl w:ilvl="4" w:tplc="18FA8B52" w:tentative="1">
      <w:start w:val="1"/>
      <w:numFmt w:val="lowerLetter"/>
      <w:lvlText w:val="%5."/>
      <w:lvlJc w:val="left"/>
      <w:pPr>
        <w:ind w:left="3240" w:hanging="360"/>
      </w:pPr>
    </w:lvl>
    <w:lvl w:ilvl="5" w:tplc="56BCE31E" w:tentative="1">
      <w:start w:val="1"/>
      <w:numFmt w:val="lowerRoman"/>
      <w:lvlText w:val="%6."/>
      <w:lvlJc w:val="right"/>
      <w:pPr>
        <w:ind w:left="3960" w:hanging="180"/>
      </w:pPr>
    </w:lvl>
    <w:lvl w:ilvl="6" w:tplc="83E2EF28" w:tentative="1">
      <w:start w:val="1"/>
      <w:numFmt w:val="decimal"/>
      <w:lvlText w:val="%7."/>
      <w:lvlJc w:val="left"/>
      <w:pPr>
        <w:ind w:left="4680" w:hanging="360"/>
      </w:pPr>
    </w:lvl>
    <w:lvl w:ilvl="7" w:tplc="66984658" w:tentative="1">
      <w:start w:val="1"/>
      <w:numFmt w:val="lowerLetter"/>
      <w:lvlText w:val="%8."/>
      <w:lvlJc w:val="left"/>
      <w:pPr>
        <w:ind w:left="5400" w:hanging="360"/>
      </w:pPr>
    </w:lvl>
    <w:lvl w:ilvl="8" w:tplc="F5A2EE32" w:tentative="1">
      <w:start w:val="1"/>
      <w:numFmt w:val="lowerRoman"/>
      <w:lvlText w:val="%9."/>
      <w:lvlJc w:val="right"/>
      <w:pPr>
        <w:ind w:left="6120" w:hanging="180"/>
      </w:pPr>
    </w:lvl>
  </w:abstractNum>
  <w:num w:numId="1" w16cid:durableId="994382122">
    <w:abstractNumId w:val="9"/>
  </w:num>
  <w:num w:numId="2" w16cid:durableId="1387266095">
    <w:abstractNumId w:val="7"/>
  </w:num>
  <w:num w:numId="3" w16cid:durableId="1072436356">
    <w:abstractNumId w:val="6"/>
  </w:num>
  <w:num w:numId="4" w16cid:durableId="297882439">
    <w:abstractNumId w:val="5"/>
  </w:num>
  <w:num w:numId="5" w16cid:durableId="1259411502">
    <w:abstractNumId w:val="4"/>
  </w:num>
  <w:num w:numId="6" w16cid:durableId="1939678995">
    <w:abstractNumId w:val="12"/>
  </w:num>
  <w:num w:numId="7" w16cid:durableId="1371956475">
    <w:abstractNumId w:val="11"/>
  </w:num>
  <w:num w:numId="8" w16cid:durableId="266161527">
    <w:abstractNumId w:val="10"/>
  </w:num>
  <w:num w:numId="9" w16cid:durableId="1005786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643265">
    <w:abstractNumId w:val="13"/>
  </w:num>
  <w:num w:numId="11" w16cid:durableId="1610887724">
    <w:abstractNumId w:val="8"/>
  </w:num>
  <w:num w:numId="12" w16cid:durableId="430592926">
    <w:abstractNumId w:val="3"/>
  </w:num>
  <w:num w:numId="13" w16cid:durableId="1030302963">
    <w:abstractNumId w:val="2"/>
  </w:num>
  <w:num w:numId="14" w16cid:durableId="1260796493">
    <w:abstractNumId w:val="1"/>
  </w:num>
  <w:num w:numId="15" w16cid:durableId="1770271296">
    <w:abstractNumId w:val="0"/>
  </w:num>
  <w:num w:numId="16" w16cid:durableId="210163511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68"/>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E370A"/>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B7293"/>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5A87"/>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0E66"/>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0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21/chapter-I/subchapter-H/part-80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fda.gov/regulatory-information/laws-enforced-fda/federal-food-drug-and-cosmetic-act-fdc-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122_00_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regulations.gov/docket/FDA-2023-N-2177/document" TargetMode="External"/><Relationship Id="rId23" Type="http://schemas.openxmlformats.org/officeDocument/2006/relationships/fontTable" Target="fontTable.xml"/><Relationship Id="rId10" Type="http://schemas.openxmlformats.org/officeDocument/2006/relationships/hyperlink" Target="https://www.govinfo.gov/content/pkg/FR-2024-05-06/pdf/2024-08935.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5-06/html/2024-08935.htm" TargetMode="External"/><Relationship Id="rId14" Type="http://schemas.openxmlformats.org/officeDocument/2006/relationships/hyperlink" Target="https://eping.wto.org/en/Search?domainIds=1&amp;documentSymbol=usa%2F2054&amp;viewData=G%2FTBT%2FN%2FUSA%2F2054"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A285-8DF8-4135-84AE-D67317EE48C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356</Words>
  <Characters>2194</Characters>
  <Application>Microsoft Office Word</Application>
  <DocSecurity>0</DocSecurity>
  <Lines>57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2024-05-07T13:35:00Z</dcterms:created>
  <dcterms:modified xsi:type="dcterms:W3CDTF">2024-05-07T13:53:00Z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