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A784" w14:textId="77777777" w:rsidR="002D78C9" w:rsidRDefault="001A65B2" w:rsidP="00DD3DD7">
      <w:pPr>
        <w:pStyle w:val="Title"/>
      </w:pPr>
      <w:r w:rsidRPr="002F663C">
        <w:t>NOTIFICATION</w:t>
      </w:r>
    </w:p>
    <w:p w14:paraId="20C036D7" w14:textId="77777777" w:rsidR="002F663C" w:rsidRPr="002F663C" w:rsidRDefault="001A65B2" w:rsidP="00DD3DD7">
      <w:pPr>
        <w:pStyle w:val="Title3"/>
      </w:pPr>
      <w:r w:rsidRPr="002F663C">
        <w:t>Addendum</w:t>
      </w:r>
    </w:p>
    <w:p w14:paraId="09049F50" w14:textId="77777777" w:rsidR="002F663C" w:rsidRDefault="001A65B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1160854D" w14:textId="77777777" w:rsidR="001E2E4A" w:rsidRPr="002F663C" w:rsidRDefault="001E2E4A" w:rsidP="001E2E4A">
      <w:pPr>
        <w:rPr>
          <w:rFonts w:eastAsia="Calibri" w:cs="Times New Roman"/>
        </w:rPr>
      </w:pPr>
    </w:p>
    <w:p w14:paraId="3EE68828" w14:textId="77777777" w:rsidR="002F663C" w:rsidRPr="002F663C" w:rsidRDefault="001A65B2" w:rsidP="002F663C">
      <w:pPr>
        <w:jc w:val="center"/>
        <w:rPr>
          <w:rFonts w:eastAsia="Calibri" w:cs="Times New Roman"/>
          <w:b/>
        </w:rPr>
      </w:pPr>
      <w:r w:rsidRPr="002F663C">
        <w:rPr>
          <w:rFonts w:eastAsia="Calibri" w:cs="Times New Roman"/>
          <w:b/>
        </w:rPr>
        <w:t>_______________</w:t>
      </w:r>
    </w:p>
    <w:p w14:paraId="2D022E50" w14:textId="77777777" w:rsidR="002F663C" w:rsidRDefault="002F663C" w:rsidP="002F663C">
      <w:pPr>
        <w:rPr>
          <w:rFonts w:eastAsia="Calibri" w:cs="Times New Roman"/>
        </w:rPr>
      </w:pPr>
    </w:p>
    <w:p w14:paraId="47B78D5A" w14:textId="77777777" w:rsidR="00C14444" w:rsidRPr="002F663C" w:rsidRDefault="00C14444" w:rsidP="002F663C">
      <w:pPr>
        <w:rPr>
          <w:rFonts w:eastAsia="Calibri" w:cs="Times New Roman"/>
        </w:rPr>
      </w:pPr>
    </w:p>
    <w:p w14:paraId="67B68AD0" w14:textId="77777777" w:rsidR="002F663C" w:rsidRPr="002F663C" w:rsidRDefault="001A65B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Greenhouse Gas Emissions Standards for Heavy-Duty Vehicles - Phase 3</w:t>
      </w:r>
      <w:bookmarkEnd w:id="3"/>
    </w:p>
    <w:p w14:paraId="60F8349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945C4" w14:paraId="6704548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D065554" w14:textId="77777777" w:rsidR="002F663C" w:rsidRPr="002F663C" w:rsidRDefault="001A65B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945C4" w14:paraId="155812E6" w14:textId="77777777" w:rsidTr="00E9471B">
        <w:tc>
          <w:tcPr>
            <w:tcW w:w="851" w:type="dxa"/>
            <w:shd w:val="clear" w:color="auto" w:fill="auto"/>
          </w:tcPr>
          <w:p w14:paraId="2C2A9C4D" w14:textId="77777777" w:rsidR="002F663C" w:rsidRPr="00711F9C" w:rsidRDefault="001A65B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9BAFBBA" w14:textId="77777777" w:rsidR="002F663C" w:rsidRPr="002F663C" w:rsidRDefault="001A65B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945C4" w14:paraId="1394448E" w14:textId="77777777" w:rsidTr="00E9471B">
        <w:tc>
          <w:tcPr>
            <w:tcW w:w="851" w:type="dxa"/>
            <w:shd w:val="clear" w:color="auto" w:fill="auto"/>
          </w:tcPr>
          <w:p w14:paraId="6ED9ACA3" w14:textId="77777777" w:rsidR="002F663C" w:rsidRPr="00711F9C" w:rsidRDefault="001A65B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FC0D410" w14:textId="77777777" w:rsidR="002F663C" w:rsidRPr="002F663C" w:rsidRDefault="001A65B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B945C4" w14:paraId="4B25C84B" w14:textId="77777777" w:rsidTr="00E9471B">
        <w:tc>
          <w:tcPr>
            <w:tcW w:w="851" w:type="dxa"/>
            <w:shd w:val="clear" w:color="auto" w:fill="auto"/>
          </w:tcPr>
          <w:p w14:paraId="3A16ADCA" w14:textId="77777777" w:rsidR="002F663C" w:rsidRPr="00711F9C" w:rsidRDefault="001A65B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315ECB0" w14:textId="77777777" w:rsidR="002F663C" w:rsidRPr="002F663C" w:rsidRDefault="001A65B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22 April 2024</w:t>
            </w:r>
            <w:bookmarkEnd w:id="10"/>
          </w:p>
        </w:tc>
      </w:tr>
      <w:tr w:rsidR="00B945C4" w14:paraId="0B015569" w14:textId="77777777" w:rsidTr="00E9471B">
        <w:tc>
          <w:tcPr>
            <w:tcW w:w="851" w:type="dxa"/>
            <w:shd w:val="clear" w:color="auto" w:fill="auto"/>
          </w:tcPr>
          <w:p w14:paraId="0381D378" w14:textId="77777777" w:rsidR="002F663C" w:rsidRPr="00711F9C" w:rsidRDefault="001A65B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69A5D7D" w14:textId="77777777" w:rsidR="002F663C" w:rsidRPr="002F663C" w:rsidRDefault="001A65B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21 June 2024</w:t>
            </w:r>
            <w:bookmarkEnd w:id="12"/>
          </w:p>
        </w:tc>
      </w:tr>
      <w:tr w:rsidR="00B945C4" w14:paraId="73E90ABB" w14:textId="77777777" w:rsidTr="00E9471B">
        <w:tc>
          <w:tcPr>
            <w:tcW w:w="851" w:type="dxa"/>
            <w:shd w:val="clear" w:color="auto" w:fill="auto"/>
          </w:tcPr>
          <w:p w14:paraId="4D365E2F" w14:textId="77777777" w:rsidR="002F663C" w:rsidRPr="00711F9C" w:rsidRDefault="001A65B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39C7FE07" w14:textId="77777777" w:rsidR="002F663C" w:rsidRPr="002F663C" w:rsidRDefault="001A65B2"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8691AEC" w14:textId="77777777" w:rsidR="002F663C" w:rsidRPr="002F663C" w:rsidRDefault="001A65B2" w:rsidP="00EB7B40">
            <w:pPr>
              <w:spacing w:before="120" w:after="120"/>
              <w:rPr>
                <w:rFonts w:eastAsia="Calibri" w:cs="Times New Roman"/>
              </w:rPr>
            </w:pPr>
            <w:r w:rsidRPr="002F663C">
              <w:rPr>
                <w:rFonts w:eastAsia="Calibri" w:cs="Times New Roman"/>
              </w:rPr>
              <w:t>89 Federal Register (FR) 29440, Title 40 Code of Federal Regulations (CFR) Parts 86, 1036, 1037, 1039, 1054, and 1065:</w:t>
            </w:r>
          </w:p>
          <w:p w14:paraId="033ABB69" w14:textId="77777777" w:rsidR="002F663C" w:rsidRPr="002F663C" w:rsidRDefault="00E50E04" w:rsidP="00EB7B40">
            <w:pPr>
              <w:spacing w:before="120" w:after="120"/>
              <w:rPr>
                <w:rFonts w:eastAsia="Calibri" w:cs="Times New Roman"/>
              </w:rPr>
            </w:pPr>
            <w:hyperlink r:id="rId9" w:tgtFrame="_blank" w:history="1">
              <w:r w:rsidR="001A65B2" w:rsidRPr="002F663C">
                <w:rPr>
                  <w:rFonts w:eastAsia="Calibri" w:cs="Times New Roman"/>
                  <w:color w:val="0000FF"/>
                  <w:u w:val="single"/>
                </w:rPr>
                <w:t>https://www.govinfo.gov/content/pkg/FR-2024-04-22/html/2024-06809.htm</w:t>
              </w:r>
            </w:hyperlink>
          </w:p>
          <w:p w14:paraId="7F345F4B" w14:textId="77777777" w:rsidR="002F663C" w:rsidRPr="002F663C" w:rsidRDefault="00E50E04" w:rsidP="00EB7B40">
            <w:pPr>
              <w:spacing w:before="120" w:after="120"/>
              <w:rPr>
                <w:rFonts w:eastAsia="Calibri" w:cs="Times New Roman"/>
              </w:rPr>
            </w:pPr>
            <w:hyperlink r:id="rId10" w:tgtFrame="_blank" w:history="1">
              <w:r w:rsidR="001A65B2" w:rsidRPr="002F663C">
                <w:rPr>
                  <w:rFonts w:eastAsia="Calibri" w:cs="Times New Roman"/>
                  <w:color w:val="0000FF"/>
                  <w:u w:val="single"/>
                </w:rPr>
                <w:t>https://www.govinfo.gov/content/pkg/FR-2024-04-22/pdf/2024-06809.pdf</w:t>
              </w:r>
            </w:hyperlink>
          </w:p>
          <w:p w14:paraId="1738AA46" w14:textId="77777777" w:rsidR="002F663C" w:rsidRPr="002F663C" w:rsidRDefault="00E50E04" w:rsidP="00EB7B40">
            <w:pPr>
              <w:spacing w:before="120" w:after="120"/>
              <w:rPr>
                <w:rFonts w:eastAsia="Calibri" w:cs="Times New Roman"/>
              </w:rPr>
            </w:pPr>
            <w:hyperlink r:id="rId11" w:tgtFrame="_blank" w:history="1">
              <w:r w:rsidR="001A65B2" w:rsidRPr="002F663C">
                <w:rPr>
                  <w:rFonts w:eastAsia="Calibri" w:cs="Times New Roman"/>
                  <w:color w:val="0000FF"/>
                  <w:u w:val="single"/>
                </w:rPr>
                <w:t>https://members.wto.org/crnattachments/2024/TBT/USA/final_measure/24_02754_00_e.pdf</w:t>
              </w:r>
            </w:hyperlink>
            <w:bookmarkEnd w:id="15"/>
          </w:p>
        </w:tc>
      </w:tr>
      <w:tr w:rsidR="00B945C4" w14:paraId="48097D72" w14:textId="77777777" w:rsidTr="00E9471B">
        <w:tc>
          <w:tcPr>
            <w:tcW w:w="851" w:type="dxa"/>
            <w:shd w:val="clear" w:color="auto" w:fill="auto"/>
          </w:tcPr>
          <w:p w14:paraId="4E4D96D4" w14:textId="77777777" w:rsidR="002F663C" w:rsidRPr="00711F9C" w:rsidRDefault="001A65B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1A01644" w14:textId="77777777" w:rsidR="002F663C" w:rsidRPr="002F663C" w:rsidRDefault="001A65B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582DA9C" w14:textId="77777777" w:rsidR="002F663C" w:rsidRPr="002F663C" w:rsidRDefault="001A65B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945C4" w14:paraId="2E8CBC0B" w14:textId="77777777" w:rsidTr="00E9471B">
        <w:tc>
          <w:tcPr>
            <w:tcW w:w="851" w:type="dxa"/>
            <w:shd w:val="clear" w:color="auto" w:fill="auto"/>
          </w:tcPr>
          <w:p w14:paraId="2F1E5209" w14:textId="77777777" w:rsidR="002F663C" w:rsidRPr="00711F9C" w:rsidRDefault="001A65B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93DF205" w14:textId="77777777" w:rsidR="002F663C" w:rsidRPr="002F663C" w:rsidRDefault="001A65B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87A7FFD" w14:textId="77777777" w:rsidR="002F663C" w:rsidRPr="002F663C" w:rsidRDefault="001A65B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945C4" w14:paraId="2B8929C6" w14:textId="77777777" w:rsidTr="00E9471B">
        <w:tc>
          <w:tcPr>
            <w:tcW w:w="851" w:type="dxa"/>
            <w:shd w:val="clear" w:color="auto" w:fill="auto"/>
          </w:tcPr>
          <w:p w14:paraId="6816AF23" w14:textId="77777777" w:rsidR="002F663C" w:rsidRPr="00711F9C" w:rsidRDefault="001A65B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949B3F2" w14:textId="77777777" w:rsidR="002F663C" w:rsidRPr="002F663C" w:rsidRDefault="001A65B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945C4" w14:paraId="089DB8F5" w14:textId="77777777" w:rsidTr="00E9471B">
        <w:tc>
          <w:tcPr>
            <w:tcW w:w="851" w:type="dxa"/>
            <w:tcBorders>
              <w:bottom w:val="double" w:sz="4" w:space="0" w:color="auto"/>
            </w:tcBorders>
            <w:shd w:val="clear" w:color="auto" w:fill="auto"/>
          </w:tcPr>
          <w:p w14:paraId="4814691F" w14:textId="77777777" w:rsidR="002F663C" w:rsidRPr="00711F9C" w:rsidRDefault="001A65B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2119C15" w14:textId="77777777" w:rsidR="002F663C" w:rsidRPr="002F663C" w:rsidRDefault="001A65B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5CD54FD" w14:textId="77777777" w:rsidR="002F663C" w:rsidRPr="002F663C" w:rsidRDefault="002F663C" w:rsidP="002F663C">
      <w:pPr>
        <w:jc w:val="left"/>
        <w:rPr>
          <w:rFonts w:eastAsia="Calibri" w:cs="Times New Roman"/>
          <w:highlight w:val="yellow"/>
        </w:rPr>
      </w:pPr>
    </w:p>
    <w:p w14:paraId="51423A69" w14:textId="77777777" w:rsidR="003971FF" w:rsidRPr="007F6EA2" w:rsidRDefault="001A65B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Environmental Protection Agency (EPA) is promulgating new greenhouse gas (GHG) emissions standards for model year (MY) 2032 and later heavy-duty highway vehicles that phase in starting as early MY 2027 for certain vehicle categories. The phase in revises certain MY 2027 GHG standards that were established previously under EPA's Greenhouse Gas Emissions and Fuel Efficiency Standards for Medium- and Heavy-Duty Engines and Vehicles--Phase 2 rule ("</w:t>
      </w:r>
      <w:hyperlink r:id="rId12" w:history="1">
        <w:r w:rsidRPr="002F663C">
          <w:rPr>
            <w:rFonts w:eastAsia="Calibri" w:cs="Times New Roman"/>
            <w:color w:val="0000FF"/>
            <w:szCs w:val="18"/>
            <w:u w:val="single"/>
          </w:rPr>
          <w:t>HD GHG Phase 2</w:t>
        </w:r>
      </w:hyperlink>
      <w:r w:rsidRPr="002F663C">
        <w:rPr>
          <w:rFonts w:eastAsia="Calibri" w:cs="Times New Roman"/>
          <w:szCs w:val="18"/>
        </w:rPr>
        <w:t xml:space="preserve">"). This document also updates discrete elements of the Averaging Banking and Trading program, including providing additional flexibilities for manufacturers to support the implementation of the Phase 3 program balanced by limiting the availability of certain advanced technology credits </w:t>
      </w:r>
      <w:r w:rsidRPr="002F663C">
        <w:rPr>
          <w:rFonts w:eastAsia="Calibri" w:cs="Times New Roman"/>
          <w:szCs w:val="18"/>
        </w:rPr>
        <w:lastRenderedPageBreak/>
        <w:t>initially established under the HD GHG Phase 2 rule. EPA is also adding warranty requirements for batteries and other components of zero-emission vehicles and requiring customer-facing battery state-of- health monitors for plug-in hybrid and battery electric vehicles. In this action, we are also finalizing additional revisions, including clarifying and editorial amendments to certain highway heavy-duty vehicle provisions and certain test procedures for heavy-duty engines.</w:t>
      </w:r>
    </w:p>
    <w:p w14:paraId="74C7B970" w14:textId="77777777" w:rsidR="00D97417" w:rsidRPr="002F663C" w:rsidRDefault="00E50E04" w:rsidP="00B16ACF">
      <w:pPr>
        <w:spacing w:before="120" w:after="120"/>
        <w:rPr>
          <w:rFonts w:eastAsia="Calibri" w:cs="Times New Roman"/>
          <w:szCs w:val="18"/>
        </w:rPr>
      </w:pPr>
      <w:hyperlink r:id="rId13" w:history="1">
        <w:r w:rsidR="001A65B2" w:rsidRPr="002F663C">
          <w:rPr>
            <w:rFonts w:eastAsia="Calibri" w:cs="Times New Roman"/>
            <w:color w:val="0000FF"/>
            <w:szCs w:val="18"/>
            <w:u w:val="single"/>
          </w:rPr>
          <w:t>Title 40</w:t>
        </w:r>
      </w:hyperlink>
      <w:r w:rsidR="001A65B2" w:rsidRPr="002F663C">
        <w:rPr>
          <w:rFonts w:eastAsia="Calibri" w:cs="Times New Roman"/>
          <w:szCs w:val="18"/>
        </w:rPr>
        <w:t xml:space="preserve"> Code of Federal Regulations (CFR) Parts </w:t>
      </w:r>
      <w:hyperlink r:id="rId14" w:history="1">
        <w:r w:rsidR="001A65B2" w:rsidRPr="002F663C">
          <w:rPr>
            <w:rFonts w:eastAsia="Calibri" w:cs="Times New Roman"/>
            <w:color w:val="0000FF"/>
            <w:szCs w:val="18"/>
            <w:u w:val="single"/>
          </w:rPr>
          <w:t>86</w:t>
        </w:r>
      </w:hyperlink>
      <w:r w:rsidR="001A65B2" w:rsidRPr="002F663C">
        <w:rPr>
          <w:rFonts w:eastAsia="Calibri" w:cs="Times New Roman"/>
          <w:szCs w:val="18"/>
        </w:rPr>
        <w:t xml:space="preserve">, </w:t>
      </w:r>
      <w:hyperlink r:id="rId15" w:history="1">
        <w:r w:rsidR="001A65B2" w:rsidRPr="002F663C">
          <w:rPr>
            <w:rFonts w:eastAsia="Calibri" w:cs="Times New Roman"/>
            <w:color w:val="0000FF"/>
            <w:szCs w:val="18"/>
            <w:u w:val="single"/>
          </w:rPr>
          <w:t>1036</w:t>
        </w:r>
      </w:hyperlink>
      <w:r w:rsidR="001A65B2" w:rsidRPr="002F663C">
        <w:rPr>
          <w:rFonts w:eastAsia="Calibri" w:cs="Times New Roman"/>
          <w:szCs w:val="18"/>
        </w:rPr>
        <w:t xml:space="preserve">, </w:t>
      </w:r>
      <w:hyperlink r:id="rId16" w:history="1">
        <w:r w:rsidR="001A65B2" w:rsidRPr="002F663C">
          <w:rPr>
            <w:rFonts w:eastAsia="Calibri" w:cs="Times New Roman"/>
            <w:color w:val="0000FF"/>
            <w:szCs w:val="18"/>
            <w:u w:val="single"/>
          </w:rPr>
          <w:t>1037</w:t>
        </w:r>
      </w:hyperlink>
      <w:r w:rsidR="001A65B2" w:rsidRPr="002F663C">
        <w:rPr>
          <w:rFonts w:eastAsia="Calibri" w:cs="Times New Roman"/>
          <w:szCs w:val="18"/>
        </w:rPr>
        <w:t xml:space="preserve">, </w:t>
      </w:r>
      <w:hyperlink r:id="rId17" w:history="1">
        <w:r w:rsidR="001A65B2" w:rsidRPr="002F663C">
          <w:rPr>
            <w:rFonts w:eastAsia="Calibri" w:cs="Times New Roman"/>
            <w:color w:val="0000FF"/>
            <w:szCs w:val="18"/>
            <w:u w:val="single"/>
          </w:rPr>
          <w:t>1039</w:t>
        </w:r>
      </w:hyperlink>
      <w:r w:rsidR="001A65B2" w:rsidRPr="002F663C">
        <w:rPr>
          <w:rFonts w:eastAsia="Calibri" w:cs="Times New Roman"/>
          <w:szCs w:val="18"/>
        </w:rPr>
        <w:t xml:space="preserve">, </w:t>
      </w:r>
      <w:hyperlink r:id="rId18" w:history="1">
        <w:r w:rsidR="001A65B2" w:rsidRPr="002F663C">
          <w:rPr>
            <w:rFonts w:eastAsia="Calibri" w:cs="Times New Roman"/>
            <w:color w:val="0000FF"/>
            <w:szCs w:val="18"/>
            <w:u w:val="single"/>
          </w:rPr>
          <w:t>1054</w:t>
        </w:r>
      </w:hyperlink>
      <w:r w:rsidR="001A65B2" w:rsidRPr="002F663C">
        <w:rPr>
          <w:rFonts w:eastAsia="Calibri" w:cs="Times New Roman"/>
          <w:szCs w:val="18"/>
        </w:rPr>
        <w:t xml:space="preserve">, and </w:t>
      </w:r>
      <w:hyperlink r:id="rId19" w:history="1">
        <w:r w:rsidR="001A65B2" w:rsidRPr="002F663C">
          <w:rPr>
            <w:rFonts w:eastAsia="Calibri" w:cs="Times New Roman"/>
            <w:color w:val="0000FF"/>
            <w:szCs w:val="18"/>
            <w:u w:val="single"/>
          </w:rPr>
          <w:t>1065</w:t>
        </w:r>
      </w:hyperlink>
    </w:p>
    <w:p w14:paraId="2D220216" w14:textId="77777777" w:rsidR="00D97417" w:rsidRPr="002F663C" w:rsidRDefault="001A65B2" w:rsidP="00B16ACF">
      <w:pPr>
        <w:spacing w:before="120" w:after="120"/>
        <w:rPr>
          <w:rFonts w:eastAsia="Calibri" w:cs="Times New Roman"/>
          <w:szCs w:val="18"/>
        </w:rPr>
      </w:pPr>
      <w:r w:rsidRPr="002F663C">
        <w:rPr>
          <w:rFonts w:eastAsia="Calibri" w:cs="Times New Roman"/>
          <w:szCs w:val="18"/>
        </w:rPr>
        <w:t>This final rule is effective on 21 June 2024. The incorporation by reference of certain material listed in this rule is approved by the Director of the Federal Register beginning 21 June 2024. The incorporation by reference of certain other material listed in this rule was previously approved by the Director of the Federal Register as of 27 March 2023.</w:t>
      </w:r>
    </w:p>
    <w:p w14:paraId="0CB6DE56" w14:textId="77777777" w:rsidR="00D97417" w:rsidRPr="002F663C" w:rsidRDefault="001A65B2" w:rsidP="00B16ACF">
      <w:pPr>
        <w:spacing w:before="120" w:after="120"/>
        <w:rPr>
          <w:rFonts w:eastAsia="Calibri" w:cs="Times New Roman"/>
          <w:szCs w:val="18"/>
        </w:rPr>
      </w:pPr>
      <w:r w:rsidRPr="002F663C">
        <w:rPr>
          <w:rFonts w:eastAsia="Calibri" w:cs="Times New Roman"/>
          <w:szCs w:val="18"/>
        </w:rPr>
        <w:t xml:space="preserve">The final rule and the notice of proposed rulemaking notified as </w:t>
      </w:r>
      <w:hyperlink r:id="rId20" w:history="1">
        <w:r w:rsidRPr="002F663C">
          <w:rPr>
            <w:rFonts w:eastAsia="Calibri" w:cs="Times New Roman"/>
            <w:color w:val="0000FF"/>
            <w:szCs w:val="18"/>
            <w:u w:val="single"/>
          </w:rPr>
          <w:t>G/TBT/N/USA/1987</w:t>
        </w:r>
      </w:hyperlink>
      <w:r w:rsidRPr="002F663C">
        <w:rPr>
          <w:rFonts w:eastAsia="Calibri" w:cs="Times New Roman"/>
          <w:szCs w:val="18"/>
        </w:rPr>
        <w:t xml:space="preserve"> are identified by Docket Number EPA-HQ-OAR-2022-0985. The Docket Folder is available on Regulations.gov at </w:t>
      </w:r>
      <w:hyperlink r:id="rId21" w:history="1">
        <w:r w:rsidRPr="002F663C">
          <w:rPr>
            <w:rFonts w:eastAsia="Calibri" w:cs="Times New Roman"/>
            <w:color w:val="0000FF"/>
            <w:szCs w:val="18"/>
            <w:u w:val="single"/>
          </w:rPr>
          <w:t>https://www.regulations.gov/docket/EPA-HQ-OAR-2022-0985/document</w:t>
        </w:r>
      </w:hyperlink>
      <w:r w:rsidRPr="002F663C">
        <w:rPr>
          <w:rFonts w:eastAsia="Calibri" w:cs="Times New Roman"/>
          <w:szCs w:val="18"/>
        </w:rPr>
        <w:t xml:space="preserve"> and provides access to primary and supporting documents as well as comments received. Documents are also accessible from </w:t>
      </w:r>
      <w:hyperlink r:id="rId2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E7C42A3" w14:textId="77777777" w:rsidR="006C5A96" w:rsidRDefault="001A65B2" w:rsidP="006C5A96">
      <w:pPr>
        <w:jc w:val="center"/>
        <w:rPr>
          <w:b/>
        </w:rPr>
      </w:pPr>
      <w:r w:rsidRPr="003971FF">
        <w:rPr>
          <w:b/>
        </w:rPr>
        <w:t>__________</w:t>
      </w:r>
    </w:p>
    <w:p w14:paraId="6015464C" w14:textId="77777777" w:rsidR="004D4D19" w:rsidRDefault="004D4D19" w:rsidP="007F38C2">
      <w:pPr>
        <w:jc w:val="center"/>
        <w:rPr>
          <w:b/>
        </w:rPr>
      </w:pPr>
    </w:p>
    <w:p w14:paraId="2B36BEB5" w14:textId="77777777" w:rsidR="00A1565D" w:rsidRDefault="00A1565D" w:rsidP="003971FF">
      <w:pPr>
        <w:jc w:val="center"/>
        <w:rPr>
          <w:b/>
        </w:rPr>
      </w:pPr>
    </w:p>
    <w:sectPr w:rsidR="00A1565D" w:rsidSect="006C5A9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289F" w14:textId="77777777" w:rsidR="001A65B2" w:rsidRDefault="001A65B2">
      <w:r>
        <w:separator/>
      </w:r>
    </w:p>
  </w:endnote>
  <w:endnote w:type="continuationSeparator" w:id="0">
    <w:p w14:paraId="2D4D82C1" w14:textId="77777777" w:rsidR="001A65B2" w:rsidRDefault="001A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C041" w14:textId="77777777" w:rsidR="00544326" w:rsidRPr="00DD3DD7" w:rsidRDefault="001A65B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0AC3" w14:textId="77777777" w:rsidR="00544326" w:rsidRPr="00DD3DD7" w:rsidRDefault="001A65B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89D2" w14:textId="77777777" w:rsidR="001A65B2" w:rsidRDefault="001A6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5F10" w14:textId="77777777" w:rsidR="000248E6" w:rsidRDefault="001A65B2" w:rsidP="00ED54E0">
      <w:r>
        <w:separator/>
      </w:r>
    </w:p>
  </w:footnote>
  <w:footnote w:type="continuationSeparator" w:id="0">
    <w:p w14:paraId="7E4F823B" w14:textId="77777777" w:rsidR="000248E6" w:rsidRDefault="001A65B2" w:rsidP="00ED54E0">
      <w:r>
        <w:continuationSeparator/>
      </w:r>
    </w:p>
  </w:footnote>
  <w:footnote w:id="1">
    <w:p w14:paraId="21EDDBB8" w14:textId="77777777" w:rsidR="007F6EA2" w:rsidRDefault="001A65B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E952" w14:textId="77777777" w:rsidR="00DD3DD7" w:rsidRDefault="001A65B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15ED4D8" w14:textId="77777777" w:rsidR="004D4D19" w:rsidRPr="00DD3DD7" w:rsidRDefault="004D4D19" w:rsidP="00DD3DD7">
    <w:pPr>
      <w:pStyle w:val="Header"/>
      <w:pBdr>
        <w:bottom w:val="single" w:sz="4" w:space="1" w:color="auto"/>
      </w:pBdr>
      <w:tabs>
        <w:tab w:val="clear" w:pos="4513"/>
        <w:tab w:val="clear" w:pos="9027"/>
      </w:tabs>
      <w:jc w:val="center"/>
    </w:pPr>
  </w:p>
  <w:p w14:paraId="1E18253B" w14:textId="77777777" w:rsidR="00DD3DD7" w:rsidRPr="00DD3DD7" w:rsidRDefault="001A65B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F591C3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A2B1" w14:textId="77777777" w:rsidR="00DD3DD7" w:rsidRPr="00DD3DD7" w:rsidRDefault="001A65B2" w:rsidP="00DD3DD7">
    <w:pPr>
      <w:pStyle w:val="Header"/>
      <w:pBdr>
        <w:bottom w:val="single" w:sz="4" w:space="1" w:color="auto"/>
      </w:pBdr>
      <w:tabs>
        <w:tab w:val="clear" w:pos="4513"/>
        <w:tab w:val="clear" w:pos="9027"/>
      </w:tabs>
      <w:jc w:val="center"/>
    </w:pPr>
    <w:bookmarkStart w:id="28" w:name="spsSymbolHeader"/>
    <w:r w:rsidRPr="00DD3DD7">
      <w:t>G/TBT/N/USA/1987/Add.1</w:t>
    </w:r>
    <w:bookmarkEnd w:id="28"/>
  </w:p>
  <w:p w14:paraId="123E368C" w14:textId="77777777" w:rsidR="00DD3DD7" w:rsidRPr="00DD3DD7" w:rsidRDefault="00DD3DD7" w:rsidP="00DD3DD7">
    <w:pPr>
      <w:pStyle w:val="Header"/>
      <w:pBdr>
        <w:bottom w:val="single" w:sz="4" w:space="1" w:color="auto"/>
      </w:pBdr>
      <w:tabs>
        <w:tab w:val="clear" w:pos="4513"/>
        <w:tab w:val="clear" w:pos="9027"/>
      </w:tabs>
      <w:jc w:val="center"/>
    </w:pPr>
  </w:p>
  <w:p w14:paraId="77BF4EF4" w14:textId="77777777" w:rsidR="00DD3DD7" w:rsidRPr="00DD3DD7" w:rsidRDefault="001A65B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144EC6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45C4" w14:paraId="6492991E" w14:textId="77777777" w:rsidTr="00544326">
      <w:trPr>
        <w:trHeight w:val="240"/>
        <w:jc w:val="center"/>
      </w:trPr>
      <w:tc>
        <w:tcPr>
          <w:tcW w:w="3794" w:type="dxa"/>
          <w:shd w:val="clear" w:color="auto" w:fill="FFFFFF"/>
          <w:tcMar>
            <w:left w:w="108" w:type="dxa"/>
            <w:right w:w="108" w:type="dxa"/>
          </w:tcMar>
          <w:vAlign w:val="center"/>
        </w:tcPr>
        <w:p w14:paraId="2A59B09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DD7A2EF" w14:textId="77777777" w:rsidR="00ED54E0" w:rsidRPr="00182B84" w:rsidRDefault="001A65B2" w:rsidP="00425DC5">
          <w:pPr>
            <w:jc w:val="right"/>
            <w:rPr>
              <w:b/>
              <w:color w:val="FF0000"/>
              <w:szCs w:val="16"/>
            </w:rPr>
          </w:pPr>
          <w:r>
            <w:rPr>
              <w:b/>
              <w:color w:val="FF0000"/>
              <w:szCs w:val="16"/>
            </w:rPr>
            <w:t xml:space="preserve"> </w:t>
          </w:r>
        </w:p>
      </w:tc>
    </w:tr>
    <w:tr w:rsidR="00B945C4" w14:paraId="192E2A47" w14:textId="77777777" w:rsidTr="00544326">
      <w:trPr>
        <w:trHeight w:val="213"/>
        <w:jc w:val="center"/>
      </w:trPr>
      <w:tc>
        <w:tcPr>
          <w:tcW w:w="3794" w:type="dxa"/>
          <w:vMerge w:val="restart"/>
          <w:shd w:val="clear" w:color="auto" w:fill="FFFFFF"/>
          <w:tcMar>
            <w:left w:w="0" w:type="dxa"/>
            <w:right w:w="0" w:type="dxa"/>
          </w:tcMar>
        </w:tcPr>
        <w:p w14:paraId="6708FC1F" w14:textId="77777777" w:rsidR="00ED54E0" w:rsidRPr="00182B84" w:rsidRDefault="001A65B2" w:rsidP="00425DC5">
          <w:pPr>
            <w:jc w:val="left"/>
          </w:pPr>
          <w:r w:rsidRPr="00182B84">
            <w:rPr>
              <w:noProof/>
              <w:lang w:val="en-US"/>
            </w:rPr>
            <w:drawing>
              <wp:inline distT="0" distB="0" distL="0" distR="0" wp14:anchorId="294EAFD2" wp14:editId="4ABBCE8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5889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BD2480" w14:textId="77777777" w:rsidR="00ED54E0" w:rsidRPr="00182B84" w:rsidRDefault="00ED54E0" w:rsidP="00425DC5">
          <w:pPr>
            <w:jc w:val="right"/>
            <w:rPr>
              <w:b/>
              <w:szCs w:val="16"/>
            </w:rPr>
          </w:pPr>
        </w:p>
      </w:tc>
    </w:tr>
    <w:tr w:rsidR="00B945C4" w14:paraId="6B9CED5B" w14:textId="77777777" w:rsidTr="00544326">
      <w:trPr>
        <w:trHeight w:val="868"/>
        <w:jc w:val="center"/>
      </w:trPr>
      <w:tc>
        <w:tcPr>
          <w:tcW w:w="3794" w:type="dxa"/>
          <w:vMerge/>
          <w:shd w:val="clear" w:color="auto" w:fill="FFFFFF"/>
          <w:tcMar>
            <w:left w:w="108" w:type="dxa"/>
            <w:right w:w="108" w:type="dxa"/>
          </w:tcMar>
        </w:tcPr>
        <w:p w14:paraId="1B18AF3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D06F7D9" w14:textId="77777777" w:rsidR="00DD3DD7" w:rsidRPr="002F663C" w:rsidRDefault="001A65B2" w:rsidP="00DD3DD7">
          <w:pPr>
            <w:jc w:val="right"/>
            <w:rPr>
              <w:rFonts w:eastAsia="Calibri" w:cs="Times New Roman"/>
              <w:b/>
              <w:szCs w:val="16"/>
            </w:rPr>
          </w:pPr>
          <w:bookmarkStart w:id="29" w:name="bmkSymbols"/>
          <w:r w:rsidRPr="002F663C">
            <w:rPr>
              <w:rFonts w:eastAsia="Calibri" w:cs="Times New Roman"/>
              <w:b/>
              <w:szCs w:val="16"/>
            </w:rPr>
            <w:t>G/TBT/N/USA/1987/Add.1</w:t>
          </w:r>
          <w:bookmarkEnd w:id="29"/>
        </w:p>
        <w:p w14:paraId="2F5F0704" w14:textId="77777777" w:rsidR="00C14444" w:rsidRPr="00C14444" w:rsidRDefault="00C14444" w:rsidP="00C14444">
          <w:pPr>
            <w:jc w:val="center"/>
            <w:rPr>
              <w:szCs w:val="16"/>
            </w:rPr>
          </w:pPr>
        </w:p>
      </w:tc>
    </w:tr>
    <w:tr w:rsidR="00B945C4" w14:paraId="495AFD51" w14:textId="77777777" w:rsidTr="00544326">
      <w:trPr>
        <w:trHeight w:val="240"/>
        <w:jc w:val="center"/>
      </w:trPr>
      <w:tc>
        <w:tcPr>
          <w:tcW w:w="3794" w:type="dxa"/>
          <w:vMerge/>
          <w:shd w:val="clear" w:color="auto" w:fill="FFFFFF"/>
          <w:tcMar>
            <w:left w:w="108" w:type="dxa"/>
            <w:right w:w="108" w:type="dxa"/>
          </w:tcMar>
          <w:vAlign w:val="center"/>
        </w:tcPr>
        <w:p w14:paraId="7E4AB224" w14:textId="77777777" w:rsidR="00ED54E0" w:rsidRPr="00182B84" w:rsidRDefault="00ED54E0" w:rsidP="00425DC5"/>
      </w:tc>
      <w:tc>
        <w:tcPr>
          <w:tcW w:w="5448" w:type="dxa"/>
          <w:gridSpan w:val="2"/>
          <w:shd w:val="clear" w:color="auto" w:fill="FFFFFF"/>
          <w:tcMar>
            <w:left w:w="108" w:type="dxa"/>
            <w:right w:w="108" w:type="dxa"/>
          </w:tcMar>
          <w:vAlign w:val="center"/>
        </w:tcPr>
        <w:p w14:paraId="12A11979" w14:textId="026A64AC" w:rsidR="00ED54E0" w:rsidRPr="00182B84" w:rsidRDefault="001A65B2" w:rsidP="00425DC5">
          <w:pPr>
            <w:jc w:val="right"/>
            <w:rPr>
              <w:szCs w:val="16"/>
            </w:rPr>
          </w:pPr>
          <w:bookmarkStart w:id="30" w:name="bmkDate"/>
          <w:bookmarkEnd w:id="30"/>
          <w:r>
            <w:rPr>
              <w:szCs w:val="16"/>
            </w:rPr>
            <w:t>23 April 2024</w:t>
          </w:r>
        </w:p>
      </w:tc>
    </w:tr>
    <w:tr w:rsidR="00B945C4" w14:paraId="78B67AD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B4D568" w14:textId="287E27C5" w:rsidR="00ED54E0" w:rsidRPr="00182B84" w:rsidRDefault="001A65B2"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E50E04">
            <w:rPr>
              <w:rFonts w:eastAsia="Calibri" w:cs="Times New Roman"/>
              <w:color w:val="FF0000"/>
              <w:szCs w:val="16"/>
            </w:rPr>
            <w:t>3333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E6BCD7A" w14:textId="77777777" w:rsidR="00ED54E0" w:rsidRPr="00182B84" w:rsidRDefault="001A65B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945C4" w14:paraId="1C4923E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945D4F" w14:textId="77777777" w:rsidR="00ED54E0" w:rsidRPr="00182B84" w:rsidRDefault="001A65B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5CC5E43" w14:textId="77777777" w:rsidR="00ED54E0" w:rsidRPr="00182B84" w:rsidRDefault="001A65B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CF24C0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168626">
      <w:start w:val="1"/>
      <w:numFmt w:val="decimal"/>
      <w:pStyle w:val="SummaryText"/>
      <w:lvlText w:val="%1."/>
      <w:lvlJc w:val="left"/>
      <w:pPr>
        <w:ind w:left="360" w:hanging="360"/>
      </w:pPr>
    </w:lvl>
    <w:lvl w:ilvl="1" w:tplc="04F44EEE" w:tentative="1">
      <w:start w:val="1"/>
      <w:numFmt w:val="lowerLetter"/>
      <w:lvlText w:val="%2."/>
      <w:lvlJc w:val="left"/>
      <w:pPr>
        <w:ind w:left="1080" w:hanging="360"/>
      </w:pPr>
    </w:lvl>
    <w:lvl w:ilvl="2" w:tplc="8BD00E8E" w:tentative="1">
      <w:start w:val="1"/>
      <w:numFmt w:val="lowerRoman"/>
      <w:lvlText w:val="%3."/>
      <w:lvlJc w:val="right"/>
      <w:pPr>
        <w:ind w:left="1800" w:hanging="180"/>
      </w:pPr>
    </w:lvl>
    <w:lvl w:ilvl="3" w:tplc="C270DDA2" w:tentative="1">
      <w:start w:val="1"/>
      <w:numFmt w:val="decimal"/>
      <w:lvlText w:val="%4."/>
      <w:lvlJc w:val="left"/>
      <w:pPr>
        <w:ind w:left="2520" w:hanging="360"/>
      </w:pPr>
    </w:lvl>
    <w:lvl w:ilvl="4" w:tplc="54E444D0" w:tentative="1">
      <w:start w:val="1"/>
      <w:numFmt w:val="lowerLetter"/>
      <w:lvlText w:val="%5."/>
      <w:lvlJc w:val="left"/>
      <w:pPr>
        <w:ind w:left="3240" w:hanging="360"/>
      </w:pPr>
    </w:lvl>
    <w:lvl w:ilvl="5" w:tplc="2A789A60" w:tentative="1">
      <w:start w:val="1"/>
      <w:numFmt w:val="lowerRoman"/>
      <w:lvlText w:val="%6."/>
      <w:lvlJc w:val="right"/>
      <w:pPr>
        <w:ind w:left="3960" w:hanging="180"/>
      </w:pPr>
    </w:lvl>
    <w:lvl w:ilvl="6" w:tplc="01489A86" w:tentative="1">
      <w:start w:val="1"/>
      <w:numFmt w:val="decimal"/>
      <w:lvlText w:val="%7."/>
      <w:lvlJc w:val="left"/>
      <w:pPr>
        <w:ind w:left="4680" w:hanging="360"/>
      </w:pPr>
    </w:lvl>
    <w:lvl w:ilvl="7" w:tplc="A54E24A2" w:tentative="1">
      <w:start w:val="1"/>
      <w:numFmt w:val="lowerLetter"/>
      <w:lvlText w:val="%8."/>
      <w:lvlJc w:val="left"/>
      <w:pPr>
        <w:ind w:left="5400" w:hanging="360"/>
      </w:pPr>
    </w:lvl>
    <w:lvl w:ilvl="8" w:tplc="B3D69360" w:tentative="1">
      <w:start w:val="1"/>
      <w:numFmt w:val="lowerRoman"/>
      <w:lvlText w:val="%9."/>
      <w:lvlJc w:val="right"/>
      <w:pPr>
        <w:ind w:left="6120" w:hanging="180"/>
      </w:pPr>
    </w:lvl>
  </w:abstractNum>
  <w:num w:numId="1" w16cid:durableId="20664868">
    <w:abstractNumId w:val="9"/>
  </w:num>
  <w:num w:numId="2" w16cid:durableId="1298293494">
    <w:abstractNumId w:val="7"/>
  </w:num>
  <w:num w:numId="3" w16cid:durableId="2090078638">
    <w:abstractNumId w:val="6"/>
  </w:num>
  <w:num w:numId="4" w16cid:durableId="1107773142">
    <w:abstractNumId w:val="5"/>
  </w:num>
  <w:num w:numId="5" w16cid:durableId="1494108427">
    <w:abstractNumId w:val="4"/>
  </w:num>
  <w:num w:numId="6" w16cid:durableId="1638295944">
    <w:abstractNumId w:val="12"/>
  </w:num>
  <w:num w:numId="7" w16cid:durableId="1611550177">
    <w:abstractNumId w:val="11"/>
  </w:num>
  <w:num w:numId="8" w16cid:durableId="235239044">
    <w:abstractNumId w:val="10"/>
  </w:num>
  <w:num w:numId="9" w16cid:durableId="14183596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9954329">
    <w:abstractNumId w:val="13"/>
  </w:num>
  <w:num w:numId="11" w16cid:durableId="1208494436">
    <w:abstractNumId w:val="8"/>
  </w:num>
  <w:num w:numId="12" w16cid:durableId="1276208059">
    <w:abstractNumId w:val="3"/>
  </w:num>
  <w:num w:numId="13" w16cid:durableId="1069888438">
    <w:abstractNumId w:val="2"/>
  </w:num>
  <w:num w:numId="14" w16cid:durableId="959071117">
    <w:abstractNumId w:val="1"/>
  </w:num>
  <w:num w:numId="15" w16cid:durableId="1432777091">
    <w:abstractNumId w:val="0"/>
  </w:num>
  <w:num w:numId="16" w16cid:durableId="36425168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A65B2"/>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4E5E"/>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945C4"/>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97417"/>
    <w:rsid w:val="00DA20BD"/>
    <w:rsid w:val="00DA4169"/>
    <w:rsid w:val="00DC1434"/>
    <w:rsid w:val="00DD3DD7"/>
    <w:rsid w:val="00DD4208"/>
    <w:rsid w:val="00DE1F32"/>
    <w:rsid w:val="00DE50DB"/>
    <w:rsid w:val="00DF085F"/>
    <w:rsid w:val="00DF6AE1"/>
    <w:rsid w:val="00E0707F"/>
    <w:rsid w:val="00E1426C"/>
    <w:rsid w:val="00E46FD5"/>
    <w:rsid w:val="00E50E04"/>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C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0" TargetMode="External"/><Relationship Id="rId18" Type="http://schemas.openxmlformats.org/officeDocument/2006/relationships/hyperlink" Target="https://www.ecfr.gov/current/title-40/chapter-I/subchapter-U/part-1054?toc=1"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regulations.gov/docket/EPA-HQ-OAR-2022-0985/document" TargetMode="External"/><Relationship Id="rId7" Type="http://schemas.openxmlformats.org/officeDocument/2006/relationships/footnotes" Target="footnotes.xml"/><Relationship Id="rId12" Type="http://schemas.openxmlformats.org/officeDocument/2006/relationships/hyperlink" Target="https://www.epa.gov/regulations-emissions-vehicles-and-engines/final-rule-phase-2-greenhouse-gas-emissions-standards" TargetMode="External"/><Relationship Id="rId17" Type="http://schemas.openxmlformats.org/officeDocument/2006/relationships/hyperlink" Target="https://www.ecfr.gov/current/title-40/chapter-I/subchapter-U/part-1039?toc=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cfr.gov/current/title-40/chapter-I/subchapter-U/part-1037?toc=1" TargetMode="External"/><Relationship Id="rId20" Type="http://schemas.openxmlformats.org/officeDocument/2006/relationships/hyperlink" Target="https://eping.wto.org/en/Search?domainIds=1&amp;documentSymbol=USA%2F198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754_00_e.pdf"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ecfr.gov/current/title-40/chapter-I/subchapter-U/part-1036"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govinfo.gov/content/pkg/FR-2024-04-22/pdf/2024-06809.pdf" TargetMode="External"/><Relationship Id="rId19" Type="http://schemas.openxmlformats.org/officeDocument/2006/relationships/hyperlink" Target="https://www.ecfr.gov/current/title-40/chapter-I/subchapter-U/part-1065?toc=1" TargetMode="External"/><Relationship Id="rId4" Type="http://schemas.openxmlformats.org/officeDocument/2006/relationships/styles" Target="styles.xml"/><Relationship Id="rId9" Type="http://schemas.openxmlformats.org/officeDocument/2006/relationships/hyperlink" Target="https://www.govinfo.gov/content/pkg/FR-2024-04-22/html/2024-06809.htm" TargetMode="External"/><Relationship Id="rId14" Type="http://schemas.openxmlformats.org/officeDocument/2006/relationships/hyperlink" Target="https://www.ecfr.gov/current/title-40/chapter-I/subchapter-U/part-86?toc=1" TargetMode="External"/><Relationship Id="rId22" Type="http://schemas.openxmlformats.org/officeDocument/2006/relationships/hyperlink" Target="http://www.regulations.gov/"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7D852-C849-4B0D-991C-4024A870F00F}">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450</Words>
  <Characters>2791</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2024-04-23T08:37:00Z</dcterms:created>
  <dcterms:modified xsi:type="dcterms:W3CDTF">2024-04-23T08:49:00Z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