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B596" w14:textId="77777777" w:rsidR="002D78C9" w:rsidRDefault="00EA05DD" w:rsidP="00DD3DD7">
      <w:pPr>
        <w:pStyle w:val="Title"/>
      </w:pPr>
      <w:r w:rsidRPr="002F663C">
        <w:t>NOTIFICATION</w:t>
      </w:r>
    </w:p>
    <w:p w14:paraId="685E1554" w14:textId="77777777" w:rsidR="002F663C" w:rsidRPr="002F663C" w:rsidRDefault="00EA05DD" w:rsidP="00DD3DD7">
      <w:pPr>
        <w:pStyle w:val="Title3"/>
      </w:pPr>
      <w:r w:rsidRPr="002F663C">
        <w:t>Addendum</w:t>
      </w:r>
    </w:p>
    <w:p w14:paraId="7C652F8C" w14:textId="77777777" w:rsidR="002F663C" w:rsidRDefault="00EA05D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21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0DE0D9D" w14:textId="77777777" w:rsidR="001E2E4A" w:rsidRPr="002F663C" w:rsidRDefault="001E2E4A" w:rsidP="001E2E4A">
      <w:pPr>
        <w:rPr>
          <w:rFonts w:eastAsia="Calibri" w:cs="Times New Roman"/>
        </w:rPr>
      </w:pPr>
    </w:p>
    <w:p w14:paraId="71BD0E55" w14:textId="77777777" w:rsidR="002F663C" w:rsidRPr="002F663C" w:rsidRDefault="00EA05DD" w:rsidP="002F663C">
      <w:pPr>
        <w:jc w:val="center"/>
        <w:rPr>
          <w:rFonts w:eastAsia="Calibri" w:cs="Times New Roman"/>
          <w:b/>
        </w:rPr>
      </w:pPr>
      <w:r w:rsidRPr="002F663C">
        <w:rPr>
          <w:rFonts w:eastAsia="Calibri" w:cs="Times New Roman"/>
          <w:b/>
        </w:rPr>
        <w:t>_______________</w:t>
      </w:r>
    </w:p>
    <w:p w14:paraId="7CDBCBF6" w14:textId="77777777" w:rsidR="002F663C" w:rsidRDefault="002F663C" w:rsidP="002F663C">
      <w:pPr>
        <w:rPr>
          <w:rFonts w:eastAsia="Calibri" w:cs="Times New Roman"/>
        </w:rPr>
      </w:pPr>
    </w:p>
    <w:p w14:paraId="172C8A97" w14:textId="77777777" w:rsidR="00C14444" w:rsidRPr="002F663C" w:rsidRDefault="00C14444" w:rsidP="002F663C">
      <w:pPr>
        <w:rPr>
          <w:rFonts w:eastAsia="Calibri" w:cs="Times New Roman"/>
        </w:rPr>
      </w:pPr>
    </w:p>
    <w:p w14:paraId="22CD7DD3" w14:textId="77777777" w:rsidR="002F663C" w:rsidRPr="002F663C" w:rsidRDefault="00EA05D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New Source Performance Standards Review for Secondary Lead Smelters</w:t>
      </w:r>
      <w:bookmarkEnd w:id="3"/>
    </w:p>
    <w:p w14:paraId="4060DF9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97376" w14:paraId="5681478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F6F93AD" w14:textId="77777777" w:rsidR="002F663C" w:rsidRPr="002F663C" w:rsidRDefault="00EA05D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97376" w14:paraId="4C4CB5FE" w14:textId="77777777" w:rsidTr="00E9471B">
        <w:tc>
          <w:tcPr>
            <w:tcW w:w="851" w:type="dxa"/>
            <w:shd w:val="clear" w:color="auto" w:fill="auto"/>
          </w:tcPr>
          <w:p w14:paraId="38A23DFE" w14:textId="77777777" w:rsidR="002F663C" w:rsidRPr="00711F9C" w:rsidRDefault="00EA05D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3311057" w14:textId="77777777" w:rsidR="002F663C" w:rsidRPr="002F663C" w:rsidRDefault="00EA05D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97376" w14:paraId="6EF673B8" w14:textId="77777777" w:rsidTr="00E9471B">
        <w:tc>
          <w:tcPr>
            <w:tcW w:w="851" w:type="dxa"/>
            <w:shd w:val="clear" w:color="auto" w:fill="auto"/>
          </w:tcPr>
          <w:p w14:paraId="35EEA9B1" w14:textId="77777777" w:rsidR="002F663C" w:rsidRPr="00711F9C" w:rsidRDefault="00EA05D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FF0ABAB" w14:textId="77777777" w:rsidR="002F663C" w:rsidRPr="002F663C" w:rsidRDefault="00EA05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97376" w14:paraId="5C1B9393" w14:textId="77777777" w:rsidTr="00E9471B">
        <w:tc>
          <w:tcPr>
            <w:tcW w:w="851" w:type="dxa"/>
            <w:shd w:val="clear" w:color="auto" w:fill="auto"/>
          </w:tcPr>
          <w:p w14:paraId="7FC2474F" w14:textId="77777777" w:rsidR="002F663C" w:rsidRPr="00711F9C" w:rsidRDefault="00EA05D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B36B070" w14:textId="77777777" w:rsidR="002F663C" w:rsidRPr="002F663C" w:rsidRDefault="00EA05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20 November 2023</w:t>
            </w:r>
            <w:bookmarkEnd w:id="10"/>
          </w:p>
        </w:tc>
      </w:tr>
      <w:tr w:rsidR="00F97376" w14:paraId="74A1F313" w14:textId="77777777" w:rsidTr="00E9471B">
        <w:tc>
          <w:tcPr>
            <w:tcW w:w="851" w:type="dxa"/>
            <w:shd w:val="clear" w:color="auto" w:fill="auto"/>
          </w:tcPr>
          <w:p w14:paraId="28F954E8" w14:textId="77777777" w:rsidR="002F663C" w:rsidRPr="00711F9C" w:rsidRDefault="00EA05D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03B0E58" w14:textId="77777777" w:rsidR="002F663C" w:rsidRPr="002F663C" w:rsidRDefault="00EA05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20 November 2023</w:t>
            </w:r>
            <w:bookmarkEnd w:id="12"/>
          </w:p>
        </w:tc>
      </w:tr>
      <w:tr w:rsidR="00F97376" w14:paraId="0E89F486" w14:textId="77777777" w:rsidTr="00E9471B">
        <w:tc>
          <w:tcPr>
            <w:tcW w:w="851" w:type="dxa"/>
            <w:shd w:val="clear" w:color="auto" w:fill="auto"/>
          </w:tcPr>
          <w:p w14:paraId="03F70716" w14:textId="77777777" w:rsidR="002F663C" w:rsidRPr="00711F9C" w:rsidRDefault="00EA05D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6D77723" w14:textId="77777777" w:rsidR="002F663C" w:rsidRPr="002F663C" w:rsidRDefault="00EA05D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30250A3" w14:textId="77777777" w:rsidR="002F663C" w:rsidRPr="002F663C" w:rsidRDefault="00EA05DD" w:rsidP="00EB7B40">
            <w:pPr>
              <w:spacing w:before="120" w:after="120"/>
              <w:rPr>
                <w:rFonts w:eastAsia="Calibri" w:cs="Times New Roman"/>
              </w:rPr>
            </w:pPr>
            <w:r w:rsidRPr="002F663C">
              <w:rPr>
                <w:rFonts w:eastAsia="Calibri" w:cs="Times New Roman"/>
              </w:rPr>
              <w:t>88 Federal Register (FR) 59481, 40 Code of Federal Regulations (CFR) Part 60:</w:t>
            </w:r>
          </w:p>
          <w:p w14:paraId="0ADC254E" w14:textId="77777777" w:rsidR="002F663C" w:rsidRPr="002F663C" w:rsidRDefault="00D863E8" w:rsidP="00EB7B40">
            <w:pPr>
              <w:spacing w:before="120" w:after="120"/>
              <w:rPr>
                <w:rFonts w:eastAsia="Calibri" w:cs="Times New Roman"/>
              </w:rPr>
            </w:pPr>
            <w:hyperlink r:id="rId9" w:tgtFrame="_blank" w:history="1">
              <w:r w:rsidR="00EA05DD" w:rsidRPr="002F663C">
                <w:rPr>
                  <w:rFonts w:eastAsia="Calibri" w:cs="Times New Roman"/>
                  <w:color w:val="0000FF"/>
                  <w:u w:val="single"/>
                </w:rPr>
                <w:t>https://www.govinfo.gov/content/pkg/FR-2023-11-20/html/2023-25275.htm</w:t>
              </w:r>
            </w:hyperlink>
          </w:p>
          <w:p w14:paraId="3A8FDBA2" w14:textId="77777777" w:rsidR="002F663C" w:rsidRPr="002F663C" w:rsidRDefault="00D863E8" w:rsidP="00EB7B40">
            <w:pPr>
              <w:spacing w:before="120" w:after="120"/>
              <w:rPr>
                <w:rFonts w:eastAsia="Calibri" w:cs="Times New Roman"/>
              </w:rPr>
            </w:pPr>
            <w:hyperlink r:id="rId10" w:tgtFrame="_blank" w:history="1">
              <w:r w:rsidR="00EA05DD" w:rsidRPr="002F663C">
                <w:rPr>
                  <w:rFonts w:eastAsia="Calibri" w:cs="Times New Roman"/>
                  <w:color w:val="0000FF"/>
                  <w:u w:val="single"/>
                </w:rPr>
                <w:t>https://www.govinfo.gov/content/pkg/FR-2023-11-20/pdf/2023-25275.pdf</w:t>
              </w:r>
            </w:hyperlink>
          </w:p>
          <w:p w14:paraId="3BE9AC76" w14:textId="77777777" w:rsidR="002F663C" w:rsidRPr="002F663C" w:rsidRDefault="00D863E8" w:rsidP="00EB7B40">
            <w:pPr>
              <w:spacing w:before="120" w:after="120"/>
              <w:rPr>
                <w:rFonts w:eastAsia="Calibri" w:cs="Times New Roman"/>
              </w:rPr>
            </w:pPr>
            <w:hyperlink r:id="rId11" w:tgtFrame="_blank" w:history="1">
              <w:r w:rsidR="00EA05DD" w:rsidRPr="002F663C">
                <w:rPr>
                  <w:rFonts w:eastAsia="Calibri" w:cs="Times New Roman"/>
                  <w:color w:val="0000FF"/>
                  <w:u w:val="single"/>
                </w:rPr>
                <w:t>https://members.wto.org/crnattachments/2023/TBT/USA/final_measure/23_13625_00_e.pdf</w:t>
              </w:r>
            </w:hyperlink>
            <w:bookmarkEnd w:id="15"/>
          </w:p>
        </w:tc>
      </w:tr>
      <w:tr w:rsidR="00F97376" w14:paraId="585141C3" w14:textId="77777777" w:rsidTr="00E9471B">
        <w:tc>
          <w:tcPr>
            <w:tcW w:w="851" w:type="dxa"/>
            <w:shd w:val="clear" w:color="auto" w:fill="auto"/>
          </w:tcPr>
          <w:p w14:paraId="5D76815C" w14:textId="77777777" w:rsidR="002F663C" w:rsidRPr="00711F9C" w:rsidRDefault="00EA05D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64D879B" w14:textId="77777777" w:rsidR="002F663C" w:rsidRPr="002F663C" w:rsidRDefault="00EA05D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7580F57" w14:textId="77777777" w:rsidR="002F663C" w:rsidRPr="002F663C" w:rsidRDefault="00EA05D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97376" w14:paraId="065B8DEE" w14:textId="77777777" w:rsidTr="00E9471B">
        <w:tc>
          <w:tcPr>
            <w:tcW w:w="851" w:type="dxa"/>
            <w:shd w:val="clear" w:color="auto" w:fill="auto"/>
          </w:tcPr>
          <w:p w14:paraId="4054C8C8" w14:textId="77777777" w:rsidR="002F663C" w:rsidRPr="00711F9C" w:rsidRDefault="00EA05D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FA76C90" w14:textId="77777777" w:rsidR="002F663C" w:rsidRPr="002F663C" w:rsidRDefault="00EA05D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4FC83DD" w14:textId="77777777" w:rsidR="002F663C" w:rsidRPr="002F663C" w:rsidRDefault="00EA05D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97376" w14:paraId="406303FB" w14:textId="77777777" w:rsidTr="00E9471B">
        <w:tc>
          <w:tcPr>
            <w:tcW w:w="851" w:type="dxa"/>
            <w:shd w:val="clear" w:color="auto" w:fill="auto"/>
          </w:tcPr>
          <w:p w14:paraId="0160925F" w14:textId="77777777" w:rsidR="002F663C" w:rsidRPr="00711F9C" w:rsidRDefault="00EA05D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0DBEEBF" w14:textId="77777777" w:rsidR="002F663C" w:rsidRPr="002F663C" w:rsidRDefault="00EA05D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97376" w14:paraId="2FBDB310" w14:textId="77777777" w:rsidTr="00E9471B">
        <w:tc>
          <w:tcPr>
            <w:tcW w:w="851" w:type="dxa"/>
            <w:tcBorders>
              <w:bottom w:val="double" w:sz="4" w:space="0" w:color="auto"/>
            </w:tcBorders>
            <w:shd w:val="clear" w:color="auto" w:fill="auto"/>
          </w:tcPr>
          <w:p w14:paraId="319C9D76" w14:textId="77777777" w:rsidR="002F663C" w:rsidRPr="00711F9C" w:rsidRDefault="00EA05D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0517335" w14:textId="77777777" w:rsidR="002F663C" w:rsidRPr="002F663C" w:rsidRDefault="00EA05D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B8B3B7D" w14:textId="77777777" w:rsidR="002F663C" w:rsidRPr="002F663C" w:rsidRDefault="002F663C" w:rsidP="002F663C">
      <w:pPr>
        <w:jc w:val="left"/>
        <w:rPr>
          <w:rFonts w:eastAsia="Calibri" w:cs="Times New Roman"/>
          <w:highlight w:val="yellow"/>
        </w:rPr>
      </w:pPr>
    </w:p>
    <w:p w14:paraId="4775F99C" w14:textId="77777777" w:rsidR="003971FF" w:rsidRPr="007F6EA2" w:rsidRDefault="00EA05D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Environmental Protection Agency (EPA) is finalizing amendments to the new source performance standards (NSPS) for secondary lead smelters pursuant to the periodic review required by the </w:t>
      </w:r>
      <w:hyperlink r:id="rId12" w:history="1">
        <w:r w:rsidRPr="002F663C">
          <w:rPr>
            <w:rFonts w:eastAsia="Calibri" w:cs="Times New Roman"/>
            <w:color w:val="0000FF"/>
            <w:szCs w:val="18"/>
            <w:u w:val="single"/>
          </w:rPr>
          <w:t>Clean Air Act (CAA)</w:t>
        </w:r>
      </w:hyperlink>
      <w:r w:rsidRPr="002F663C">
        <w:rPr>
          <w:rFonts w:eastAsia="Calibri" w:cs="Times New Roman"/>
          <w:szCs w:val="18"/>
        </w:rPr>
        <w:t xml:space="preserve">. Specifically, the EPA is finalizing revisions to the NSPS that applies to affected secondary lead smelters constructed, reconstructed, or modified after 1 December 2022 (NSPS subpart La). The EPA is also finalizing amendments to the NSPS for secondary lead smelters constructed, reconstructed, or modified after 11 June 1973, and on or before 1 December 2022, (NSPS subpart L). In addition, we are finalizing the use of </w:t>
      </w:r>
      <w:hyperlink r:id="rId13" w:history="1">
        <w:r w:rsidRPr="002F663C">
          <w:rPr>
            <w:rFonts w:eastAsia="Calibri" w:cs="Times New Roman"/>
            <w:color w:val="0000FF"/>
            <w:szCs w:val="18"/>
            <w:u w:val="single"/>
          </w:rPr>
          <w:t>EPA Method 22</w:t>
        </w:r>
      </w:hyperlink>
      <w:r w:rsidRPr="002F663C">
        <w:rPr>
          <w:rFonts w:eastAsia="Calibri" w:cs="Times New Roman"/>
          <w:szCs w:val="18"/>
        </w:rPr>
        <w:t xml:space="preserve"> (Visual </w:t>
      </w:r>
      <w:r w:rsidRPr="002F663C">
        <w:rPr>
          <w:rFonts w:eastAsia="Calibri" w:cs="Times New Roman"/>
          <w:szCs w:val="18"/>
        </w:rPr>
        <w:lastRenderedPageBreak/>
        <w:t>Determination of Fugitive Emissions from Material Sources and Smoke Emissions from Flares) as an alternative for demonstrating compliance with the opacity limit.</w:t>
      </w:r>
    </w:p>
    <w:p w14:paraId="13F5AF4A" w14:textId="77777777" w:rsidR="004B5C37" w:rsidRPr="002F663C" w:rsidRDefault="00EA05DD" w:rsidP="00B16ACF">
      <w:pPr>
        <w:spacing w:before="120" w:after="120"/>
        <w:rPr>
          <w:rFonts w:eastAsia="Calibri" w:cs="Times New Roman"/>
          <w:szCs w:val="18"/>
        </w:rPr>
      </w:pPr>
      <w:r w:rsidRPr="002F663C">
        <w:rPr>
          <w:rFonts w:eastAsia="Calibri" w:cs="Times New Roman"/>
          <w:szCs w:val="18"/>
        </w:rPr>
        <w:t>This final rule is effective on 20 November 2023. The incorporation by reference (IBR) of certain publications listed in the rule is approved by the Director of the Federal Register as of 20 November 2023.</w:t>
      </w:r>
    </w:p>
    <w:p w14:paraId="535266A6" w14:textId="77777777" w:rsidR="004B5C37" w:rsidRPr="002F663C" w:rsidRDefault="00D863E8" w:rsidP="00B16ACF">
      <w:pPr>
        <w:spacing w:before="120" w:after="120"/>
        <w:rPr>
          <w:rFonts w:eastAsia="Calibri" w:cs="Times New Roman"/>
          <w:szCs w:val="18"/>
        </w:rPr>
      </w:pPr>
      <w:hyperlink r:id="rId14" w:history="1">
        <w:r w:rsidR="00EA05DD" w:rsidRPr="002F663C">
          <w:rPr>
            <w:rFonts w:eastAsia="Calibri" w:cs="Times New Roman"/>
            <w:color w:val="0000FF"/>
            <w:szCs w:val="18"/>
            <w:u w:val="single"/>
          </w:rPr>
          <w:t>Title 40 Code of Federal Regulations (CFR) Part 60</w:t>
        </w:r>
      </w:hyperlink>
    </w:p>
    <w:p w14:paraId="1B38D40F" w14:textId="77777777" w:rsidR="004B5C37" w:rsidRPr="002F663C" w:rsidRDefault="00EA05DD"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5" w:history="1">
        <w:r w:rsidRPr="002F663C">
          <w:rPr>
            <w:rFonts w:eastAsia="Calibri" w:cs="Times New Roman"/>
            <w:color w:val="0000FF"/>
            <w:szCs w:val="18"/>
            <w:u w:val="single"/>
          </w:rPr>
          <w:t>G/TBT/N/USA/1947</w:t>
        </w:r>
      </w:hyperlink>
      <w:r w:rsidRPr="002F663C">
        <w:rPr>
          <w:rFonts w:eastAsia="Calibri" w:cs="Times New Roman"/>
          <w:szCs w:val="18"/>
        </w:rPr>
        <w:t xml:space="preserve"> are identified by Docket Number EPA-HQ-OAR-2022-0481. The Docket Folder is available on Regulations.gov at </w:t>
      </w:r>
      <w:hyperlink r:id="rId16" w:history="1">
        <w:r w:rsidRPr="002F663C">
          <w:rPr>
            <w:rFonts w:eastAsia="Calibri" w:cs="Times New Roman"/>
            <w:color w:val="0000FF"/>
            <w:szCs w:val="18"/>
            <w:u w:val="single"/>
          </w:rPr>
          <w:t>https://www.regulations.gov/docket/EPA-HQ-OAR-2022-0481/document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E2C108C" w14:textId="77777777" w:rsidR="006C5A96" w:rsidRDefault="00EA05DD" w:rsidP="006C5A96">
      <w:pPr>
        <w:jc w:val="center"/>
        <w:rPr>
          <w:b/>
        </w:rPr>
      </w:pPr>
      <w:r w:rsidRPr="003971FF">
        <w:rPr>
          <w:b/>
        </w:rPr>
        <w:t>__________</w:t>
      </w:r>
    </w:p>
    <w:p w14:paraId="2B83C78B" w14:textId="77777777" w:rsidR="004D4D19" w:rsidRDefault="004D4D19" w:rsidP="007F38C2">
      <w:pPr>
        <w:jc w:val="center"/>
        <w:rPr>
          <w:b/>
        </w:rPr>
      </w:pPr>
    </w:p>
    <w:p w14:paraId="798ADC8F"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B511" w14:textId="77777777" w:rsidR="00862BB2" w:rsidRDefault="00EA05DD">
      <w:r>
        <w:separator/>
      </w:r>
    </w:p>
  </w:endnote>
  <w:endnote w:type="continuationSeparator" w:id="0">
    <w:p w14:paraId="2488F19B" w14:textId="77777777" w:rsidR="00862BB2" w:rsidRDefault="00EA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DCD8" w14:textId="77777777" w:rsidR="00544326" w:rsidRPr="00DD3DD7" w:rsidRDefault="00EA05D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54CD" w14:textId="77777777" w:rsidR="00544326" w:rsidRPr="00DD3DD7" w:rsidRDefault="00EA05D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F989" w14:textId="77777777" w:rsidR="000248E6" w:rsidRDefault="00EA05DD" w:rsidP="00ED54E0">
      <w:r>
        <w:separator/>
      </w:r>
    </w:p>
  </w:footnote>
  <w:footnote w:type="continuationSeparator" w:id="0">
    <w:p w14:paraId="16253E00" w14:textId="77777777" w:rsidR="000248E6" w:rsidRDefault="00EA05DD" w:rsidP="00ED54E0">
      <w:r>
        <w:continuationSeparator/>
      </w:r>
    </w:p>
  </w:footnote>
  <w:footnote w:id="1">
    <w:p w14:paraId="06D4FAFB" w14:textId="77777777" w:rsidR="007F6EA2" w:rsidRDefault="00EA05D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4E20" w14:textId="77777777" w:rsidR="00DD3DD7" w:rsidRDefault="00EA05D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53F1E4E" w14:textId="77777777" w:rsidR="004D4D19" w:rsidRPr="00DD3DD7" w:rsidRDefault="004D4D19" w:rsidP="00DD3DD7">
    <w:pPr>
      <w:pStyle w:val="Header"/>
      <w:pBdr>
        <w:bottom w:val="single" w:sz="4" w:space="1" w:color="auto"/>
      </w:pBdr>
      <w:tabs>
        <w:tab w:val="clear" w:pos="4513"/>
        <w:tab w:val="clear" w:pos="9027"/>
      </w:tabs>
      <w:jc w:val="center"/>
    </w:pPr>
  </w:p>
  <w:p w14:paraId="717A79C3" w14:textId="77777777" w:rsidR="00DD3DD7" w:rsidRPr="00DD3DD7" w:rsidRDefault="00EA05D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9E2F7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6E2D" w14:textId="77777777" w:rsidR="00DD3DD7" w:rsidRPr="00D863E8" w:rsidRDefault="00EA05DD" w:rsidP="00DD3DD7">
    <w:pPr>
      <w:pStyle w:val="Header"/>
      <w:pBdr>
        <w:bottom w:val="single" w:sz="4" w:space="1" w:color="auto"/>
      </w:pBdr>
      <w:tabs>
        <w:tab w:val="clear" w:pos="4513"/>
        <w:tab w:val="clear" w:pos="9027"/>
      </w:tabs>
      <w:jc w:val="center"/>
      <w:rPr>
        <w:lang w:val="es-ES"/>
      </w:rPr>
    </w:pPr>
    <w:bookmarkStart w:id="28" w:name="spsSymbolHeader"/>
    <w:r w:rsidRPr="00D863E8">
      <w:rPr>
        <w:lang w:val="es-ES"/>
      </w:rPr>
      <w:t>G/TBT/N/USA/1947/Add.2</w:t>
    </w:r>
    <w:bookmarkEnd w:id="28"/>
  </w:p>
  <w:p w14:paraId="09849872" w14:textId="77777777" w:rsidR="00DD3DD7" w:rsidRPr="00D863E8" w:rsidRDefault="00DD3DD7" w:rsidP="00DD3DD7">
    <w:pPr>
      <w:pStyle w:val="Header"/>
      <w:pBdr>
        <w:bottom w:val="single" w:sz="4" w:space="1" w:color="auto"/>
      </w:pBdr>
      <w:tabs>
        <w:tab w:val="clear" w:pos="4513"/>
        <w:tab w:val="clear" w:pos="9027"/>
      </w:tabs>
      <w:jc w:val="center"/>
      <w:rPr>
        <w:lang w:val="es-ES"/>
      </w:rPr>
    </w:pPr>
  </w:p>
  <w:p w14:paraId="3ED90B88" w14:textId="77777777" w:rsidR="00DD3DD7" w:rsidRPr="00DD3DD7" w:rsidRDefault="00EA05D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79C2A2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7376" w14:paraId="13528F84" w14:textId="77777777" w:rsidTr="00544326">
      <w:trPr>
        <w:trHeight w:val="240"/>
        <w:jc w:val="center"/>
      </w:trPr>
      <w:tc>
        <w:tcPr>
          <w:tcW w:w="3794" w:type="dxa"/>
          <w:shd w:val="clear" w:color="auto" w:fill="FFFFFF"/>
          <w:tcMar>
            <w:left w:w="108" w:type="dxa"/>
            <w:right w:w="108" w:type="dxa"/>
          </w:tcMar>
          <w:vAlign w:val="center"/>
        </w:tcPr>
        <w:p w14:paraId="11B5873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C102B1A" w14:textId="77777777" w:rsidR="00ED54E0" w:rsidRPr="00182B84" w:rsidRDefault="00EA05DD" w:rsidP="00425DC5">
          <w:pPr>
            <w:jc w:val="right"/>
            <w:rPr>
              <w:b/>
              <w:color w:val="FF0000"/>
              <w:szCs w:val="16"/>
            </w:rPr>
          </w:pPr>
          <w:r>
            <w:rPr>
              <w:b/>
              <w:color w:val="FF0000"/>
              <w:szCs w:val="16"/>
            </w:rPr>
            <w:t xml:space="preserve"> </w:t>
          </w:r>
        </w:p>
      </w:tc>
    </w:tr>
    <w:tr w:rsidR="00F97376" w14:paraId="2976F03F" w14:textId="77777777" w:rsidTr="00544326">
      <w:trPr>
        <w:trHeight w:val="213"/>
        <w:jc w:val="center"/>
      </w:trPr>
      <w:tc>
        <w:tcPr>
          <w:tcW w:w="3794" w:type="dxa"/>
          <w:vMerge w:val="restart"/>
          <w:shd w:val="clear" w:color="auto" w:fill="FFFFFF"/>
          <w:tcMar>
            <w:left w:w="0" w:type="dxa"/>
            <w:right w:w="0" w:type="dxa"/>
          </w:tcMar>
        </w:tcPr>
        <w:p w14:paraId="61587339" w14:textId="77777777" w:rsidR="00ED54E0" w:rsidRPr="00182B84" w:rsidRDefault="00EA05DD" w:rsidP="00425DC5">
          <w:pPr>
            <w:jc w:val="left"/>
          </w:pPr>
          <w:r w:rsidRPr="00182B84">
            <w:rPr>
              <w:noProof/>
              <w:lang w:val="en-US"/>
            </w:rPr>
            <w:drawing>
              <wp:inline distT="0" distB="0" distL="0" distR="0" wp14:anchorId="6CC9F57F" wp14:editId="1ADC0C6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612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493B5C" w14:textId="77777777" w:rsidR="00ED54E0" w:rsidRPr="00182B84" w:rsidRDefault="00ED54E0" w:rsidP="00425DC5">
          <w:pPr>
            <w:jc w:val="right"/>
            <w:rPr>
              <w:b/>
              <w:szCs w:val="16"/>
            </w:rPr>
          </w:pPr>
        </w:p>
      </w:tc>
    </w:tr>
    <w:tr w:rsidR="00F97376" w:rsidRPr="00D863E8" w14:paraId="53853ADF" w14:textId="77777777" w:rsidTr="00544326">
      <w:trPr>
        <w:trHeight w:val="868"/>
        <w:jc w:val="center"/>
      </w:trPr>
      <w:tc>
        <w:tcPr>
          <w:tcW w:w="3794" w:type="dxa"/>
          <w:vMerge/>
          <w:shd w:val="clear" w:color="auto" w:fill="FFFFFF"/>
          <w:tcMar>
            <w:left w:w="108" w:type="dxa"/>
            <w:right w:w="108" w:type="dxa"/>
          </w:tcMar>
        </w:tcPr>
        <w:p w14:paraId="52EB60B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AEA901F" w14:textId="77777777" w:rsidR="00DD3DD7" w:rsidRPr="00D863E8" w:rsidRDefault="00EA05DD" w:rsidP="00DD3DD7">
          <w:pPr>
            <w:jc w:val="right"/>
            <w:rPr>
              <w:rFonts w:eastAsia="Calibri" w:cs="Times New Roman"/>
              <w:b/>
              <w:szCs w:val="16"/>
              <w:lang w:val="es-ES"/>
            </w:rPr>
          </w:pPr>
          <w:bookmarkStart w:id="29" w:name="bmkSymbols"/>
          <w:r w:rsidRPr="00D863E8">
            <w:rPr>
              <w:rFonts w:eastAsia="Calibri" w:cs="Times New Roman"/>
              <w:b/>
              <w:szCs w:val="16"/>
              <w:lang w:val="es-ES"/>
            </w:rPr>
            <w:t>G/TBT/N/USA/1947/Add.2</w:t>
          </w:r>
          <w:bookmarkEnd w:id="29"/>
        </w:p>
        <w:p w14:paraId="03A7B2DB" w14:textId="77777777" w:rsidR="00C14444" w:rsidRPr="00D863E8" w:rsidRDefault="00C14444" w:rsidP="00C14444">
          <w:pPr>
            <w:jc w:val="center"/>
            <w:rPr>
              <w:szCs w:val="16"/>
              <w:lang w:val="es-ES"/>
            </w:rPr>
          </w:pPr>
        </w:p>
      </w:tc>
    </w:tr>
    <w:tr w:rsidR="00F97376" w14:paraId="3E0AAED0" w14:textId="77777777" w:rsidTr="00544326">
      <w:trPr>
        <w:trHeight w:val="240"/>
        <w:jc w:val="center"/>
      </w:trPr>
      <w:tc>
        <w:tcPr>
          <w:tcW w:w="3794" w:type="dxa"/>
          <w:vMerge/>
          <w:shd w:val="clear" w:color="auto" w:fill="FFFFFF"/>
          <w:tcMar>
            <w:left w:w="108" w:type="dxa"/>
            <w:right w:w="108" w:type="dxa"/>
          </w:tcMar>
          <w:vAlign w:val="center"/>
        </w:tcPr>
        <w:p w14:paraId="39306982" w14:textId="77777777" w:rsidR="00ED54E0" w:rsidRPr="00D863E8" w:rsidRDefault="00ED54E0" w:rsidP="00425DC5">
          <w:pPr>
            <w:rPr>
              <w:lang w:val="es-ES"/>
            </w:rPr>
          </w:pPr>
        </w:p>
      </w:tc>
      <w:tc>
        <w:tcPr>
          <w:tcW w:w="5448" w:type="dxa"/>
          <w:gridSpan w:val="2"/>
          <w:shd w:val="clear" w:color="auto" w:fill="FFFFFF"/>
          <w:tcMar>
            <w:left w:w="108" w:type="dxa"/>
            <w:right w:w="108" w:type="dxa"/>
          </w:tcMar>
          <w:vAlign w:val="center"/>
        </w:tcPr>
        <w:p w14:paraId="114C7AAB" w14:textId="43B644E2" w:rsidR="00ED54E0" w:rsidRPr="00182B84" w:rsidRDefault="00EA05DD" w:rsidP="00425DC5">
          <w:pPr>
            <w:jc w:val="right"/>
            <w:rPr>
              <w:szCs w:val="16"/>
            </w:rPr>
          </w:pPr>
          <w:bookmarkStart w:id="30" w:name="bmkDate"/>
          <w:bookmarkEnd w:id="30"/>
          <w:r>
            <w:rPr>
              <w:szCs w:val="16"/>
            </w:rPr>
            <w:t>21 November 2023</w:t>
          </w:r>
        </w:p>
      </w:tc>
    </w:tr>
    <w:tr w:rsidR="00F97376" w14:paraId="1C87888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E14059" w14:textId="29924A28" w:rsidR="00ED54E0" w:rsidRPr="00182B84" w:rsidRDefault="00EA05D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D863E8">
            <w:rPr>
              <w:rFonts w:eastAsia="Calibri" w:cs="Times New Roman"/>
              <w:color w:val="FF0000"/>
              <w:szCs w:val="16"/>
            </w:rPr>
            <w:t>7838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E6E678D" w14:textId="77777777" w:rsidR="00ED54E0" w:rsidRPr="00182B84" w:rsidRDefault="00EA05D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97376" w14:paraId="6725411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8D8A12" w14:textId="77777777" w:rsidR="00ED54E0" w:rsidRPr="00182B84" w:rsidRDefault="00EA05D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EF6A503" w14:textId="77777777" w:rsidR="00ED54E0" w:rsidRPr="00182B84" w:rsidRDefault="00EA05D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B3E5FB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04E546">
      <w:start w:val="1"/>
      <w:numFmt w:val="decimal"/>
      <w:pStyle w:val="SummaryText"/>
      <w:lvlText w:val="%1."/>
      <w:lvlJc w:val="left"/>
      <w:pPr>
        <w:ind w:left="360" w:hanging="360"/>
      </w:pPr>
    </w:lvl>
    <w:lvl w:ilvl="1" w:tplc="5A8884CA" w:tentative="1">
      <w:start w:val="1"/>
      <w:numFmt w:val="lowerLetter"/>
      <w:lvlText w:val="%2."/>
      <w:lvlJc w:val="left"/>
      <w:pPr>
        <w:ind w:left="1080" w:hanging="360"/>
      </w:pPr>
    </w:lvl>
    <w:lvl w:ilvl="2" w:tplc="A6CA3DCE" w:tentative="1">
      <w:start w:val="1"/>
      <w:numFmt w:val="lowerRoman"/>
      <w:lvlText w:val="%3."/>
      <w:lvlJc w:val="right"/>
      <w:pPr>
        <w:ind w:left="1800" w:hanging="180"/>
      </w:pPr>
    </w:lvl>
    <w:lvl w:ilvl="3" w:tplc="54FA574C" w:tentative="1">
      <w:start w:val="1"/>
      <w:numFmt w:val="decimal"/>
      <w:lvlText w:val="%4."/>
      <w:lvlJc w:val="left"/>
      <w:pPr>
        <w:ind w:left="2520" w:hanging="360"/>
      </w:pPr>
    </w:lvl>
    <w:lvl w:ilvl="4" w:tplc="8E084CD6" w:tentative="1">
      <w:start w:val="1"/>
      <w:numFmt w:val="lowerLetter"/>
      <w:lvlText w:val="%5."/>
      <w:lvlJc w:val="left"/>
      <w:pPr>
        <w:ind w:left="3240" w:hanging="360"/>
      </w:pPr>
    </w:lvl>
    <w:lvl w:ilvl="5" w:tplc="18361E3A" w:tentative="1">
      <w:start w:val="1"/>
      <w:numFmt w:val="lowerRoman"/>
      <w:lvlText w:val="%6."/>
      <w:lvlJc w:val="right"/>
      <w:pPr>
        <w:ind w:left="3960" w:hanging="180"/>
      </w:pPr>
    </w:lvl>
    <w:lvl w:ilvl="6" w:tplc="FA6C8F5E" w:tentative="1">
      <w:start w:val="1"/>
      <w:numFmt w:val="decimal"/>
      <w:lvlText w:val="%7."/>
      <w:lvlJc w:val="left"/>
      <w:pPr>
        <w:ind w:left="4680" w:hanging="360"/>
      </w:pPr>
    </w:lvl>
    <w:lvl w:ilvl="7" w:tplc="A26821F4" w:tentative="1">
      <w:start w:val="1"/>
      <w:numFmt w:val="lowerLetter"/>
      <w:lvlText w:val="%8."/>
      <w:lvlJc w:val="left"/>
      <w:pPr>
        <w:ind w:left="5400" w:hanging="360"/>
      </w:pPr>
    </w:lvl>
    <w:lvl w:ilvl="8" w:tplc="FC725872" w:tentative="1">
      <w:start w:val="1"/>
      <w:numFmt w:val="lowerRoman"/>
      <w:lvlText w:val="%9."/>
      <w:lvlJc w:val="right"/>
      <w:pPr>
        <w:ind w:left="6120" w:hanging="180"/>
      </w:pPr>
    </w:lvl>
  </w:abstractNum>
  <w:num w:numId="1" w16cid:durableId="4553533">
    <w:abstractNumId w:val="9"/>
  </w:num>
  <w:num w:numId="2" w16cid:durableId="302656221">
    <w:abstractNumId w:val="7"/>
  </w:num>
  <w:num w:numId="3" w16cid:durableId="1537497658">
    <w:abstractNumId w:val="6"/>
  </w:num>
  <w:num w:numId="4" w16cid:durableId="1590894003">
    <w:abstractNumId w:val="5"/>
  </w:num>
  <w:num w:numId="5" w16cid:durableId="1637833806">
    <w:abstractNumId w:val="4"/>
  </w:num>
  <w:num w:numId="6" w16cid:durableId="2133984565">
    <w:abstractNumId w:val="12"/>
  </w:num>
  <w:num w:numId="7" w16cid:durableId="1852797994">
    <w:abstractNumId w:val="11"/>
  </w:num>
  <w:num w:numId="8" w16cid:durableId="922643364">
    <w:abstractNumId w:val="10"/>
  </w:num>
  <w:num w:numId="9" w16cid:durableId="1555313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8985533">
    <w:abstractNumId w:val="13"/>
  </w:num>
  <w:num w:numId="11" w16cid:durableId="249048541">
    <w:abstractNumId w:val="8"/>
  </w:num>
  <w:num w:numId="12" w16cid:durableId="1681810649">
    <w:abstractNumId w:val="3"/>
  </w:num>
  <w:num w:numId="13" w16cid:durableId="734086044">
    <w:abstractNumId w:val="2"/>
  </w:num>
  <w:num w:numId="14" w16cid:durableId="1980110878">
    <w:abstractNumId w:val="1"/>
  </w:num>
  <w:num w:numId="15" w16cid:durableId="1656490748">
    <w:abstractNumId w:val="0"/>
  </w:num>
  <w:num w:numId="16" w16cid:durableId="116427334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5C37"/>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2BB2"/>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63F96"/>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63E8"/>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05DD"/>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7376"/>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gov/emc/method-22-visual-determination-fugitive-emission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pa.gov/laws-regulations/summary-clean-air-act" TargetMode="Externa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s://www.regulations.gov/docket/EPA-HQ-OAR-2022-0481/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3625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ing.wto.org/en/Search?domainIds=1&amp;documentSymbol=usa%2F1947" TargetMode="External"/><Relationship Id="rId23" Type="http://schemas.openxmlformats.org/officeDocument/2006/relationships/fontTable" Target="fontTable.xml"/><Relationship Id="rId10" Type="http://schemas.openxmlformats.org/officeDocument/2006/relationships/hyperlink" Target="https://www.govinfo.gov/content/pkg/FR-2023-11-20/pdf/2023-25275.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3-11-20/html/2023-25275.htm" TargetMode="External"/><Relationship Id="rId14" Type="http://schemas.openxmlformats.org/officeDocument/2006/relationships/hyperlink" Target="https://www.ecfr.gov/current/title-40/chapter-I/subchapter-C/part-60?toc=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2d9e4492-d081-49ad-95cd-97743ba2a3c9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4C7E-5E05-4C7D-B82C-EEB919F960A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360</Words>
  <Characters>2245</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2023-11-21T13:09:00Z</dcterms:created>
  <dcterms:modified xsi:type="dcterms:W3CDTF">2023-11-21T13:49:00Z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2d9e4492-d081-49ad-95cd-97743ba2a3c9</vt:lpwstr>
  </property>
  <property fmtid="{D5CDD505-2E9C-101B-9397-08002B2CF9AE}" pid="4" name="WTOCLASSIFICATION">
    <vt:lpwstr>WTO OFFICIAL</vt:lpwstr>
  </property>
</Properties>
</file>