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03817" w14:textId="77777777" w:rsidR="002D78C9" w:rsidRDefault="007F6B7F" w:rsidP="00DD3DD7">
      <w:pPr>
        <w:pStyle w:val="Title"/>
      </w:pPr>
      <w:r w:rsidRPr="002F663C">
        <w:t>NOTIFICATION</w:t>
      </w:r>
    </w:p>
    <w:p w14:paraId="66B492BC" w14:textId="77777777" w:rsidR="002F663C" w:rsidRPr="002F663C" w:rsidRDefault="007F6B7F" w:rsidP="00DD3DD7">
      <w:pPr>
        <w:pStyle w:val="Title3"/>
      </w:pPr>
      <w:r w:rsidRPr="002F663C">
        <w:t>Addendum</w:t>
      </w:r>
    </w:p>
    <w:p w14:paraId="386E21F8" w14:textId="77777777" w:rsidR="002F663C" w:rsidRDefault="007F6B7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 November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41A019B" w14:textId="77777777" w:rsidR="001E2E4A" w:rsidRPr="002F663C" w:rsidRDefault="001E2E4A" w:rsidP="001E2E4A">
      <w:pPr>
        <w:rPr>
          <w:rFonts w:eastAsia="Calibri" w:cs="Times New Roman"/>
        </w:rPr>
      </w:pPr>
    </w:p>
    <w:p w14:paraId="24BC8156" w14:textId="77777777" w:rsidR="002F663C" w:rsidRPr="002F663C" w:rsidRDefault="007F6B7F" w:rsidP="002F663C">
      <w:pPr>
        <w:jc w:val="center"/>
        <w:rPr>
          <w:rFonts w:eastAsia="Calibri" w:cs="Times New Roman"/>
          <w:b/>
        </w:rPr>
      </w:pPr>
      <w:r w:rsidRPr="002F663C">
        <w:rPr>
          <w:rFonts w:eastAsia="Calibri" w:cs="Times New Roman"/>
          <w:b/>
        </w:rPr>
        <w:t>_______________</w:t>
      </w:r>
    </w:p>
    <w:p w14:paraId="6EBA749D" w14:textId="77777777" w:rsidR="002F663C" w:rsidRDefault="002F663C" w:rsidP="002F663C">
      <w:pPr>
        <w:rPr>
          <w:rFonts w:eastAsia="Calibri" w:cs="Times New Roman"/>
        </w:rPr>
      </w:pPr>
    </w:p>
    <w:p w14:paraId="0218A9F8" w14:textId="77777777" w:rsidR="00C14444" w:rsidRPr="002F663C" w:rsidRDefault="00C14444" w:rsidP="002F663C">
      <w:pPr>
        <w:rPr>
          <w:rFonts w:eastAsia="Calibri" w:cs="Times New Roman"/>
        </w:rPr>
      </w:pPr>
    </w:p>
    <w:p w14:paraId="073D372F" w14:textId="77777777" w:rsidR="002F663C" w:rsidRPr="002F663C" w:rsidRDefault="007F6B7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Portable Fuel Container Safety Act Regulation</w:t>
      </w:r>
      <w:bookmarkEnd w:id="3"/>
    </w:p>
    <w:p w14:paraId="527AC05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166E9" w14:paraId="1ADA15E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A32D31F" w14:textId="77777777" w:rsidR="002F663C" w:rsidRPr="002F663C" w:rsidRDefault="007F6B7F"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1166E9" w14:paraId="213E9E50" w14:textId="77777777" w:rsidTr="00E9471B">
        <w:tc>
          <w:tcPr>
            <w:tcW w:w="851" w:type="dxa"/>
            <w:shd w:val="clear" w:color="auto" w:fill="auto"/>
          </w:tcPr>
          <w:p w14:paraId="3B87A10D" w14:textId="77777777" w:rsidR="002F663C" w:rsidRPr="00711F9C" w:rsidRDefault="007F6B7F"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5D3A50E7" w14:textId="77777777" w:rsidR="002F663C" w:rsidRPr="002F663C" w:rsidRDefault="007F6B7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30 November 2023</w:t>
            </w:r>
            <w:bookmarkEnd w:id="6"/>
          </w:p>
        </w:tc>
      </w:tr>
      <w:tr w:rsidR="001166E9" w14:paraId="3415BF93" w14:textId="77777777" w:rsidTr="00E9471B">
        <w:tc>
          <w:tcPr>
            <w:tcW w:w="851" w:type="dxa"/>
            <w:shd w:val="clear" w:color="auto" w:fill="auto"/>
          </w:tcPr>
          <w:p w14:paraId="7A4C2838" w14:textId="77777777" w:rsidR="002F663C" w:rsidRPr="00711F9C" w:rsidRDefault="007F6B7F"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6AFDF48" w14:textId="77777777" w:rsidR="002F663C" w:rsidRPr="002F663C" w:rsidRDefault="007F6B7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1166E9" w14:paraId="17047917" w14:textId="77777777" w:rsidTr="00E9471B">
        <w:tc>
          <w:tcPr>
            <w:tcW w:w="851" w:type="dxa"/>
            <w:shd w:val="clear" w:color="auto" w:fill="auto"/>
          </w:tcPr>
          <w:p w14:paraId="41632BE4" w14:textId="77777777" w:rsidR="002F663C" w:rsidRPr="00711F9C" w:rsidRDefault="007F6B7F"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14979A3B" w14:textId="77777777" w:rsidR="002F663C" w:rsidRPr="002F663C" w:rsidRDefault="007F6B7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31 October 2023</w:t>
            </w:r>
            <w:bookmarkEnd w:id="10"/>
          </w:p>
        </w:tc>
      </w:tr>
      <w:tr w:rsidR="001166E9" w14:paraId="02B0B9D0" w14:textId="77777777" w:rsidTr="00E9471B">
        <w:tc>
          <w:tcPr>
            <w:tcW w:w="851" w:type="dxa"/>
            <w:shd w:val="clear" w:color="auto" w:fill="auto"/>
          </w:tcPr>
          <w:p w14:paraId="21A62EEA" w14:textId="77777777" w:rsidR="002F663C" w:rsidRPr="00711F9C" w:rsidRDefault="007F6B7F"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7F628C63" w14:textId="77777777" w:rsidR="002F663C" w:rsidRPr="002F663C" w:rsidRDefault="007F6B7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9 December 2023; unless CPSC receives a significant adverse comment by 30 November 2023. If CPSC receives such a comment, it will publish in the Federal Register a notice withdrawing this direct final rule before its effective date.</w:t>
            </w:r>
            <w:bookmarkEnd w:id="12"/>
          </w:p>
        </w:tc>
      </w:tr>
      <w:tr w:rsidR="001166E9" w14:paraId="1B5D5F5C" w14:textId="77777777" w:rsidTr="00E9471B">
        <w:tc>
          <w:tcPr>
            <w:tcW w:w="851" w:type="dxa"/>
            <w:shd w:val="clear" w:color="auto" w:fill="auto"/>
          </w:tcPr>
          <w:p w14:paraId="50D5202D" w14:textId="77777777" w:rsidR="002F663C" w:rsidRPr="00711F9C" w:rsidRDefault="007F6B7F"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1B40405C" w14:textId="77777777" w:rsidR="002F663C" w:rsidRPr="002F663C" w:rsidRDefault="007F6B7F"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0AF1C405" w14:textId="77777777" w:rsidR="002F663C" w:rsidRPr="002F663C" w:rsidRDefault="007F6B7F" w:rsidP="00EB7B40">
            <w:pPr>
              <w:spacing w:before="120" w:after="120"/>
              <w:rPr>
                <w:rFonts w:eastAsia="Calibri" w:cs="Times New Roman"/>
              </w:rPr>
            </w:pPr>
            <w:r w:rsidRPr="002F663C">
              <w:rPr>
                <w:rFonts w:eastAsia="Calibri" w:cs="Times New Roman"/>
              </w:rPr>
              <w:t>88 Federal Register (FR) 74342, 16 Code of Federal Regulations (CFR) Part 1461:</w:t>
            </w:r>
          </w:p>
          <w:p w14:paraId="77F9A8F0" w14:textId="77777777" w:rsidR="002F663C" w:rsidRPr="002F663C" w:rsidRDefault="00EE1189" w:rsidP="00EB7B40">
            <w:pPr>
              <w:spacing w:before="120" w:after="120"/>
              <w:rPr>
                <w:rFonts w:eastAsia="Calibri" w:cs="Times New Roman"/>
              </w:rPr>
            </w:pPr>
            <w:hyperlink r:id="rId9" w:tgtFrame="_blank" w:history="1">
              <w:r w:rsidR="007F6B7F" w:rsidRPr="002F663C">
                <w:rPr>
                  <w:rFonts w:eastAsia="Calibri" w:cs="Times New Roman"/>
                  <w:color w:val="0000FF"/>
                  <w:u w:val="single"/>
                </w:rPr>
                <w:t>https://www.govinfo.gov/content/pkg/FR-2023-10-31/html/2023-23655.htm</w:t>
              </w:r>
            </w:hyperlink>
          </w:p>
          <w:p w14:paraId="3FD2F713" w14:textId="77777777" w:rsidR="002F663C" w:rsidRPr="002F663C" w:rsidRDefault="00EE1189" w:rsidP="00EB7B40">
            <w:pPr>
              <w:spacing w:before="120" w:after="120"/>
              <w:rPr>
                <w:rFonts w:eastAsia="Calibri" w:cs="Times New Roman"/>
              </w:rPr>
            </w:pPr>
            <w:hyperlink r:id="rId10" w:tgtFrame="_blank" w:history="1">
              <w:r w:rsidR="007F6B7F" w:rsidRPr="002F663C">
                <w:rPr>
                  <w:rFonts w:eastAsia="Calibri" w:cs="Times New Roman"/>
                  <w:color w:val="0000FF"/>
                  <w:u w:val="single"/>
                </w:rPr>
                <w:t>https://www.ecfr.gov/current/title-16/chapter-II/subchapter-B</w:t>
              </w:r>
            </w:hyperlink>
            <w:bookmarkEnd w:id="15"/>
          </w:p>
        </w:tc>
      </w:tr>
      <w:tr w:rsidR="001166E9" w14:paraId="7CE0D1F7" w14:textId="77777777" w:rsidTr="00E9471B">
        <w:tc>
          <w:tcPr>
            <w:tcW w:w="851" w:type="dxa"/>
            <w:shd w:val="clear" w:color="auto" w:fill="auto"/>
          </w:tcPr>
          <w:p w14:paraId="681FFC86" w14:textId="77777777" w:rsidR="002F663C" w:rsidRPr="00711F9C" w:rsidRDefault="007F6B7F"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E27920C" w14:textId="77777777" w:rsidR="002F663C" w:rsidRPr="002F663C" w:rsidRDefault="007F6B7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F1AA961" w14:textId="77777777" w:rsidR="002F663C" w:rsidRPr="002F663C" w:rsidRDefault="007F6B7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1166E9" w14:paraId="38539384" w14:textId="77777777" w:rsidTr="00E9471B">
        <w:tc>
          <w:tcPr>
            <w:tcW w:w="851" w:type="dxa"/>
            <w:shd w:val="clear" w:color="auto" w:fill="auto"/>
          </w:tcPr>
          <w:p w14:paraId="57E3E7DE" w14:textId="77777777" w:rsidR="002F663C" w:rsidRPr="00711F9C" w:rsidRDefault="007F6B7F"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5D43024B" w14:textId="77777777" w:rsidR="002F663C" w:rsidRPr="002F663C" w:rsidRDefault="007F6B7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EBBDE7F" w14:textId="77777777" w:rsidR="002F663C" w:rsidRPr="002F663C" w:rsidRDefault="007F6B7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1166E9" w14:paraId="6746DC99" w14:textId="77777777" w:rsidTr="00E9471B">
        <w:tc>
          <w:tcPr>
            <w:tcW w:w="851" w:type="dxa"/>
            <w:shd w:val="clear" w:color="auto" w:fill="auto"/>
          </w:tcPr>
          <w:p w14:paraId="794EFFA6" w14:textId="77777777" w:rsidR="002F663C" w:rsidRPr="00711F9C" w:rsidRDefault="007F6B7F"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6B27532" w14:textId="77777777" w:rsidR="002F663C" w:rsidRPr="002F663C" w:rsidRDefault="007F6B7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1166E9" w14:paraId="3A3A4A5A" w14:textId="77777777" w:rsidTr="00E9471B">
        <w:tc>
          <w:tcPr>
            <w:tcW w:w="851" w:type="dxa"/>
            <w:tcBorders>
              <w:bottom w:val="double" w:sz="4" w:space="0" w:color="auto"/>
            </w:tcBorders>
            <w:shd w:val="clear" w:color="auto" w:fill="auto"/>
          </w:tcPr>
          <w:p w14:paraId="2489C6D4" w14:textId="77777777" w:rsidR="002F663C" w:rsidRPr="00711F9C" w:rsidRDefault="007F6B7F"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49D8669" w14:textId="77777777" w:rsidR="002F663C" w:rsidRPr="002F663C" w:rsidRDefault="007F6B7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9434139" w14:textId="77777777" w:rsidR="002F663C" w:rsidRPr="002F663C" w:rsidRDefault="002F663C" w:rsidP="002F663C">
      <w:pPr>
        <w:jc w:val="left"/>
        <w:rPr>
          <w:rFonts w:eastAsia="Calibri" w:cs="Times New Roman"/>
          <w:highlight w:val="yellow"/>
        </w:rPr>
      </w:pPr>
    </w:p>
    <w:p w14:paraId="542A2270" w14:textId="77777777" w:rsidR="003971FF" w:rsidRPr="007F6EA2" w:rsidRDefault="007F6B7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Direct final rule - The Portable Fuel Container Safety Act of 2020 (</w:t>
      </w:r>
      <w:hyperlink r:id="rId11" w:history="1">
        <w:r w:rsidRPr="002F663C">
          <w:rPr>
            <w:rFonts w:eastAsia="Calibri" w:cs="Times New Roman"/>
            <w:color w:val="0000FF"/>
            <w:szCs w:val="18"/>
            <w:u w:val="single"/>
          </w:rPr>
          <w:t>PFCSA</w:t>
        </w:r>
      </w:hyperlink>
      <w:r w:rsidRPr="002F663C">
        <w:rPr>
          <w:rFonts w:eastAsia="Calibri" w:cs="Times New Roman"/>
          <w:szCs w:val="18"/>
        </w:rPr>
        <w:t xml:space="preserve">) provides that the Consumer Product Safety Commission (Commission) must promulgate a rule to require flame mitigation devices in portable fuel containers that impede the propagation of flame into the container, unless the Commission determines that there is a voluntary standard for flame mitigation devices that achieves the same result. In January 2023, the Commission published in the Federal Register (and notified in </w:t>
      </w:r>
      <w:hyperlink r:id="rId12" w:history="1">
        <w:r w:rsidRPr="002F663C">
          <w:rPr>
            <w:rFonts w:eastAsia="Calibri" w:cs="Times New Roman"/>
            <w:color w:val="0000FF"/>
            <w:szCs w:val="18"/>
            <w:u w:val="single"/>
          </w:rPr>
          <w:t>G/TBT/N/USA/1871/Add.1</w:t>
        </w:r>
      </w:hyperlink>
      <w:r w:rsidRPr="002F663C">
        <w:rPr>
          <w:rFonts w:eastAsia="Calibri" w:cs="Times New Roman"/>
          <w:szCs w:val="18"/>
        </w:rPr>
        <w:t xml:space="preserve">) a notice of its determinations under the PFCSA that three such voluntary standards collectively apply to all known classes of portable fuel containers. Pursuant to the PFCSA, therefore, the requirements of the three voluntary standards are treated as </w:t>
      </w:r>
      <w:r w:rsidRPr="002F663C">
        <w:rPr>
          <w:rFonts w:eastAsia="Calibri" w:cs="Times New Roman"/>
          <w:szCs w:val="18"/>
        </w:rPr>
        <w:lastRenderedPageBreak/>
        <w:t>a consumer product safety rule under the Consumer Product Safety Act (CPSA). ASTM then notified the Commission that one standard had been revised. The Commission evaluated the revised standard and found that the revisions carry out the purposes of the PFCSA. Accordingly the revisions will be incorporated into the mandatory standard for portable fuel containers. This direct final rule creates a new part codifying the incorporation by reference of this revised standard and the other two voluntary standards that are mandatory under the PFCSA.</w:t>
      </w:r>
    </w:p>
    <w:p w14:paraId="6F7810C1" w14:textId="77777777" w:rsidR="00D04EDF" w:rsidRPr="002F663C" w:rsidRDefault="007F6B7F" w:rsidP="00B16ACF">
      <w:pPr>
        <w:spacing w:before="120" w:after="120"/>
        <w:rPr>
          <w:rFonts w:eastAsia="Calibri" w:cs="Times New Roman"/>
          <w:szCs w:val="18"/>
        </w:rPr>
      </w:pPr>
      <w:r w:rsidRPr="002F663C">
        <w:rPr>
          <w:rFonts w:eastAsia="Calibri" w:cs="Times New Roman"/>
          <w:szCs w:val="18"/>
        </w:rPr>
        <w:t>The rule is effective on 9 December 2023, unless CPSC receives a significant adverse comment by 30 November 2023. If CPSC receives such a comment, it will publish in the Federal Register a notice withdrawing this direct final rule before its effective date (which would also be notified to the WTO).</w:t>
      </w:r>
    </w:p>
    <w:p w14:paraId="6C27B5CB" w14:textId="77777777" w:rsidR="00D04EDF" w:rsidRPr="002F663C" w:rsidRDefault="007F6B7F" w:rsidP="00B16ACF">
      <w:pPr>
        <w:spacing w:before="120" w:after="120"/>
        <w:rPr>
          <w:rFonts w:eastAsia="Calibri" w:cs="Times New Roman"/>
          <w:szCs w:val="18"/>
        </w:rPr>
      </w:pPr>
      <w:r w:rsidRPr="002F663C">
        <w:rPr>
          <w:rFonts w:eastAsia="Calibri" w:cs="Times New Roman"/>
          <w:szCs w:val="18"/>
        </w:rPr>
        <w:t xml:space="preserve">This direct final rule and previous actions notified under the symbol </w:t>
      </w:r>
      <w:hyperlink r:id="rId13" w:history="1">
        <w:r w:rsidRPr="002F663C">
          <w:rPr>
            <w:rFonts w:eastAsia="Calibri" w:cs="Times New Roman"/>
            <w:color w:val="0000FF"/>
            <w:szCs w:val="18"/>
            <w:u w:val="single"/>
          </w:rPr>
          <w:t>G/TBT/N/USA/1871</w:t>
        </w:r>
      </w:hyperlink>
      <w:r w:rsidRPr="002F663C">
        <w:rPr>
          <w:rFonts w:eastAsia="Calibri" w:cs="Times New Roman"/>
          <w:szCs w:val="18"/>
        </w:rPr>
        <w:t xml:space="preserve"> are identified by Docket Number CPSC-2022-0017. The Docket Folder is available from </w:t>
      </w:r>
      <w:hyperlink r:id="rId14" w:history="1">
        <w:r w:rsidRPr="002F663C">
          <w:rPr>
            <w:rFonts w:eastAsia="Calibri" w:cs="Times New Roman"/>
            <w:color w:val="0000FF"/>
            <w:szCs w:val="18"/>
            <w:u w:val="single"/>
          </w:rPr>
          <w:t>Regulations.gov</w:t>
        </w:r>
      </w:hyperlink>
      <w:r w:rsidRPr="002F663C">
        <w:rPr>
          <w:rFonts w:eastAsia="Calibri" w:cs="Times New Roman"/>
          <w:szCs w:val="18"/>
        </w:rPr>
        <w:t xml:space="preserve"> at </w:t>
      </w:r>
      <w:hyperlink r:id="rId15" w:history="1">
        <w:r w:rsidRPr="002F663C">
          <w:rPr>
            <w:rFonts w:eastAsia="Calibri" w:cs="Times New Roman"/>
            <w:color w:val="0000FF"/>
            <w:szCs w:val="18"/>
            <w:u w:val="single"/>
          </w:rPr>
          <w:t>https://www.regulations.gov/docket/CPSC-2022-0017/document</w:t>
        </w:r>
      </w:hyperlink>
      <w:r w:rsidRPr="002F663C">
        <w:rPr>
          <w:rFonts w:eastAsia="Calibri" w:cs="Times New Roman"/>
          <w:szCs w:val="18"/>
        </w:rPr>
        <w:t xml:space="preserve"> and provides access to primary and supporting documents as well as comments received. Documents are also accessible from Regulations.gov by searching the Docket Number. WTO Members and their stakeholders are asked to submit comments to the </w:t>
      </w:r>
      <w:hyperlink r:id="rId16" w:history="1">
        <w:r w:rsidRPr="002F663C">
          <w:rPr>
            <w:rFonts w:eastAsia="Calibri" w:cs="Times New Roman"/>
            <w:color w:val="0000FF"/>
            <w:szCs w:val="18"/>
            <w:u w:val="single"/>
          </w:rPr>
          <w:t xml:space="preserve">USA TBT Enquiry Point </w:t>
        </w:r>
      </w:hyperlink>
      <w:r w:rsidRPr="002F663C">
        <w:rPr>
          <w:rFonts w:eastAsia="Calibri" w:cs="Times New Roman"/>
          <w:szCs w:val="18"/>
        </w:rPr>
        <w:t xml:space="preserve">on or before </w:t>
      </w:r>
      <w:hyperlink r:id="rId17"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8" w:history="1">
        <w:r w:rsidRPr="002F663C">
          <w:rPr>
            <w:rFonts w:eastAsia="Calibri" w:cs="Times New Roman"/>
            <w:color w:val="0000FF"/>
            <w:szCs w:val="18"/>
            <w:u w:val="single"/>
          </w:rPr>
          <w:t>Eastern Time</w:t>
        </w:r>
      </w:hyperlink>
      <w:r w:rsidRPr="002F663C">
        <w:rPr>
          <w:rFonts w:eastAsia="Calibri" w:cs="Times New Roman"/>
          <w:szCs w:val="18"/>
        </w:rPr>
        <w:t xml:space="preserve"> on 30 November 2023. Comments received by the USA TBT Enquiry Point from WTO Members and their stakeholders will be shared with CPSC and will also be submitted to the </w:t>
      </w:r>
      <w:hyperlink r:id="rId19"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4A762C59" w14:textId="77777777" w:rsidR="006C5A96" w:rsidRDefault="007F6B7F" w:rsidP="006C5A96">
      <w:pPr>
        <w:jc w:val="center"/>
        <w:rPr>
          <w:b/>
        </w:rPr>
      </w:pPr>
      <w:r w:rsidRPr="003971FF">
        <w:rPr>
          <w:b/>
        </w:rPr>
        <w:t>__________</w:t>
      </w:r>
    </w:p>
    <w:p w14:paraId="3290390F" w14:textId="77777777" w:rsidR="004D4D19" w:rsidRDefault="004D4D19" w:rsidP="007F38C2">
      <w:pPr>
        <w:jc w:val="center"/>
        <w:rPr>
          <w:b/>
        </w:rPr>
      </w:pPr>
    </w:p>
    <w:p w14:paraId="61E9CF69"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8FCB" w14:textId="77777777" w:rsidR="004B7D9A" w:rsidRDefault="007F6B7F">
      <w:r>
        <w:separator/>
      </w:r>
    </w:p>
  </w:endnote>
  <w:endnote w:type="continuationSeparator" w:id="0">
    <w:p w14:paraId="634F67EE" w14:textId="77777777" w:rsidR="004B7D9A" w:rsidRDefault="007F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A71D" w14:textId="77777777" w:rsidR="00544326" w:rsidRPr="00DD3DD7" w:rsidRDefault="007F6B7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7DBC" w14:textId="77777777" w:rsidR="00544326" w:rsidRPr="00DD3DD7" w:rsidRDefault="007F6B7F"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5B56" w14:textId="77777777" w:rsidR="000248E6" w:rsidRDefault="007F6B7F" w:rsidP="00ED54E0">
      <w:r>
        <w:separator/>
      </w:r>
    </w:p>
  </w:footnote>
  <w:footnote w:type="continuationSeparator" w:id="0">
    <w:p w14:paraId="63E21DA5" w14:textId="77777777" w:rsidR="000248E6" w:rsidRDefault="007F6B7F" w:rsidP="00ED54E0">
      <w:r>
        <w:continuationSeparator/>
      </w:r>
    </w:p>
  </w:footnote>
  <w:footnote w:id="1">
    <w:p w14:paraId="0B065D98" w14:textId="77777777" w:rsidR="007F6EA2" w:rsidRDefault="007F6B7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1C06" w14:textId="77777777" w:rsidR="00DD3DD7" w:rsidRDefault="007F6B7F"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1CACD9BD" w14:textId="77777777" w:rsidR="004D4D19" w:rsidRPr="00DD3DD7" w:rsidRDefault="004D4D19" w:rsidP="00DD3DD7">
    <w:pPr>
      <w:pStyle w:val="Header"/>
      <w:pBdr>
        <w:bottom w:val="single" w:sz="4" w:space="1" w:color="auto"/>
      </w:pBdr>
      <w:tabs>
        <w:tab w:val="clear" w:pos="4513"/>
        <w:tab w:val="clear" w:pos="9027"/>
      </w:tabs>
      <w:jc w:val="center"/>
    </w:pPr>
  </w:p>
  <w:p w14:paraId="2E29ED0C" w14:textId="77777777" w:rsidR="00DD3DD7" w:rsidRPr="00DD3DD7" w:rsidRDefault="007F6B7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977A07B"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BBBF" w14:textId="77777777" w:rsidR="00DD3DD7" w:rsidRPr="00EE1189" w:rsidRDefault="007F6B7F" w:rsidP="00DD3DD7">
    <w:pPr>
      <w:pStyle w:val="Header"/>
      <w:pBdr>
        <w:bottom w:val="single" w:sz="4" w:space="1" w:color="auto"/>
      </w:pBdr>
      <w:tabs>
        <w:tab w:val="clear" w:pos="4513"/>
        <w:tab w:val="clear" w:pos="9027"/>
      </w:tabs>
      <w:jc w:val="center"/>
      <w:rPr>
        <w:lang w:val="es-ES"/>
      </w:rPr>
    </w:pPr>
    <w:bookmarkStart w:id="28" w:name="spsSymbolHeader"/>
    <w:r w:rsidRPr="00EE1189">
      <w:rPr>
        <w:lang w:val="es-ES"/>
      </w:rPr>
      <w:t>G/TBT/N/USA/1871/Add.3</w:t>
    </w:r>
    <w:bookmarkEnd w:id="28"/>
  </w:p>
  <w:p w14:paraId="15B45C77" w14:textId="77777777" w:rsidR="00DD3DD7" w:rsidRPr="00EE1189" w:rsidRDefault="00DD3DD7" w:rsidP="00DD3DD7">
    <w:pPr>
      <w:pStyle w:val="Header"/>
      <w:pBdr>
        <w:bottom w:val="single" w:sz="4" w:space="1" w:color="auto"/>
      </w:pBdr>
      <w:tabs>
        <w:tab w:val="clear" w:pos="4513"/>
        <w:tab w:val="clear" w:pos="9027"/>
      </w:tabs>
      <w:jc w:val="center"/>
      <w:rPr>
        <w:lang w:val="es-ES"/>
      </w:rPr>
    </w:pPr>
  </w:p>
  <w:p w14:paraId="434BFF0C" w14:textId="77777777" w:rsidR="00DD3DD7" w:rsidRPr="00DD3DD7" w:rsidRDefault="007F6B7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584439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66E9" w14:paraId="57245A07" w14:textId="77777777" w:rsidTr="00544326">
      <w:trPr>
        <w:trHeight w:val="240"/>
        <w:jc w:val="center"/>
      </w:trPr>
      <w:tc>
        <w:tcPr>
          <w:tcW w:w="3794" w:type="dxa"/>
          <w:shd w:val="clear" w:color="auto" w:fill="FFFFFF"/>
          <w:tcMar>
            <w:left w:w="108" w:type="dxa"/>
            <w:right w:w="108" w:type="dxa"/>
          </w:tcMar>
          <w:vAlign w:val="center"/>
        </w:tcPr>
        <w:p w14:paraId="0BE8BC8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A95928E" w14:textId="77777777" w:rsidR="00ED54E0" w:rsidRPr="00182B84" w:rsidRDefault="007F6B7F" w:rsidP="00425DC5">
          <w:pPr>
            <w:jc w:val="right"/>
            <w:rPr>
              <w:b/>
              <w:color w:val="FF0000"/>
              <w:szCs w:val="16"/>
            </w:rPr>
          </w:pPr>
          <w:r>
            <w:rPr>
              <w:b/>
              <w:color w:val="FF0000"/>
              <w:szCs w:val="16"/>
            </w:rPr>
            <w:t xml:space="preserve"> </w:t>
          </w:r>
        </w:p>
      </w:tc>
    </w:tr>
    <w:tr w:rsidR="001166E9" w14:paraId="245784BE" w14:textId="77777777" w:rsidTr="00544326">
      <w:trPr>
        <w:trHeight w:val="213"/>
        <w:jc w:val="center"/>
      </w:trPr>
      <w:tc>
        <w:tcPr>
          <w:tcW w:w="3794" w:type="dxa"/>
          <w:vMerge w:val="restart"/>
          <w:shd w:val="clear" w:color="auto" w:fill="FFFFFF"/>
          <w:tcMar>
            <w:left w:w="0" w:type="dxa"/>
            <w:right w:w="0" w:type="dxa"/>
          </w:tcMar>
        </w:tcPr>
        <w:p w14:paraId="289EB5E8" w14:textId="77777777" w:rsidR="00ED54E0" w:rsidRPr="00182B84" w:rsidRDefault="007F6B7F" w:rsidP="00425DC5">
          <w:pPr>
            <w:jc w:val="left"/>
          </w:pPr>
          <w:r w:rsidRPr="00182B84">
            <w:rPr>
              <w:noProof/>
              <w:lang w:val="en-US"/>
            </w:rPr>
            <w:drawing>
              <wp:inline distT="0" distB="0" distL="0" distR="0" wp14:anchorId="43C26496" wp14:editId="1399B6C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689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B54651" w14:textId="77777777" w:rsidR="00ED54E0" w:rsidRPr="00182B84" w:rsidRDefault="00ED54E0" w:rsidP="00425DC5">
          <w:pPr>
            <w:jc w:val="right"/>
            <w:rPr>
              <w:b/>
              <w:szCs w:val="16"/>
            </w:rPr>
          </w:pPr>
        </w:p>
      </w:tc>
    </w:tr>
    <w:tr w:rsidR="001166E9" w:rsidRPr="00EE1189" w14:paraId="334596E0" w14:textId="77777777" w:rsidTr="00544326">
      <w:trPr>
        <w:trHeight w:val="868"/>
        <w:jc w:val="center"/>
      </w:trPr>
      <w:tc>
        <w:tcPr>
          <w:tcW w:w="3794" w:type="dxa"/>
          <w:vMerge/>
          <w:shd w:val="clear" w:color="auto" w:fill="FFFFFF"/>
          <w:tcMar>
            <w:left w:w="108" w:type="dxa"/>
            <w:right w:w="108" w:type="dxa"/>
          </w:tcMar>
        </w:tcPr>
        <w:p w14:paraId="4C8C357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9EC7BF6" w14:textId="77777777" w:rsidR="00DD3DD7" w:rsidRPr="00EE1189" w:rsidRDefault="007F6B7F" w:rsidP="00DD3DD7">
          <w:pPr>
            <w:jc w:val="right"/>
            <w:rPr>
              <w:rFonts w:eastAsia="Calibri" w:cs="Times New Roman"/>
              <w:b/>
              <w:szCs w:val="16"/>
              <w:lang w:val="es-ES"/>
            </w:rPr>
          </w:pPr>
          <w:bookmarkStart w:id="29" w:name="bmkSymbols"/>
          <w:r w:rsidRPr="00EE1189">
            <w:rPr>
              <w:rFonts w:eastAsia="Calibri" w:cs="Times New Roman"/>
              <w:b/>
              <w:szCs w:val="16"/>
              <w:lang w:val="es-ES"/>
            </w:rPr>
            <w:t>G/TBT/N/USA/1871/Add.3</w:t>
          </w:r>
          <w:bookmarkEnd w:id="29"/>
        </w:p>
        <w:p w14:paraId="405C62C3" w14:textId="77777777" w:rsidR="00C14444" w:rsidRPr="00EE1189" w:rsidRDefault="00C14444" w:rsidP="00C14444">
          <w:pPr>
            <w:jc w:val="center"/>
            <w:rPr>
              <w:szCs w:val="16"/>
              <w:lang w:val="es-ES"/>
            </w:rPr>
          </w:pPr>
        </w:p>
      </w:tc>
    </w:tr>
    <w:tr w:rsidR="001166E9" w14:paraId="011C5FFF" w14:textId="77777777" w:rsidTr="00544326">
      <w:trPr>
        <w:trHeight w:val="240"/>
        <w:jc w:val="center"/>
      </w:trPr>
      <w:tc>
        <w:tcPr>
          <w:tcW w:w="3794" w:type="dxa"/>
          <w:vMerge/>
          <w:shd w:val="clear" w:color="auto" w:fill="FFFFFF"/>
          <w:tcMar>
            <w:left w:w="108" w:type="dxa"/>
            <w:right w:w="108" w:type="dxa"/>
          </w:tcMar>
          <w:vAlign w:val="center"/>
        </w:tcPr>
        <w:p w14:paraId="0FB9E685" w14:textId="77777777" w:rsidR="00ED54E0" w:rsidRPr="00EE1189" w:rsidRDefault="00ED54E0" w:rsidP="00425DC5">
          <w:pPr>
            <w:rPr>
              <w:lang w:val="es-ES"/>
            </w:rPr>
          </w:pPr>
        </w:p>
      </w:tc>
      <w:tc>
        <w:tcPr>
          <w:tcW w:w="5448" w:type="dxa"/>
          <w:gridSpan w:val="2"/>
          <w:shd w:val="clear" w:color="auto" w:fill="FFFFFF"/>
          <w:tcMar>
            <w:left w:w="108" w:type="dxa"/>
            <w:right w:w="108" w:type="dxa"/>
          </w:tcMar>
          <w:vAlign w:val="center"/>
        </w:tcPr>
        <w:p w14:paraId="69CD394E" w14:textId="0F94CD57" w:rsidR="00ED54E0" w:rsidRPr="00182B84" w:rsidRDefault="00ED13D5" w:rsidP="00425DC5">
          <w:pPr>
            <w:jc w:val="right"/>
            <w:rPr>
              <w:szCs w:val="16"/>
            </w:rPr>
          </w:pPr>
          <w:bookmarkStart w:id="30" w:name="bmkDate"/>
          <w:bookmarkEnd w:id="30"/>
          <w:r>
            <w:rPr>
              <w:szCs w:val="16"/>
            </w:rPr>
            <w:t xml:space="preserve">1 </w:t>
          </w:r>
          <w:r w:rsidR="007F6B7F">
            <w:rPr>
              <w:szCs w:val="16"/>
            </w:rPr>
            <w:t>November</w:t>
          </w:r>
          <w:r>
            <w:rPr>
              <w:szCs w:val="16"/>
            </w:rPr>
            <w:t xml:space="preserve"> 2023</w:t>
          </w:r>
        </w:p>
      </w:tc>
    </w:tr>
    <w:tr w:rsidR="001166E9" w14:paraId="3FBDE3C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9B7A60" w14:textId="07EC5343" w:rsidR="00ED54E0" w:rsidRPr="00182B84" w:rsidRDefault="007F6B7F" w:rsidP="00425DC5">
          <w:pPr>
            <w:jc w:val="left"/>
            <w:rPr>
              <w:b/>
            </w:rPr>
          </w:pPr>
          <w:r w:rsidRPr="002F663C">
            <w:rPr>
              <w:rFonts w:eastAsia="Calibri" w:cs="Times New Roman"/>
              <w:color w:val="FF0000"/>
              <w:szCs w:val="16"/>
            </w:rPr>
            <w:t>(</w:t>
          </w:r>
          <w:bookmarkStart w:id="31" w:name="bmkSerial"/>
          <w:bookmarkEnd w:id="31"/>
          <w:r w:rsidR="00ED13D5">
            <w:rPr>
              <w:rFonts w:eastAsia="Calibri" w:cs="Times New Roman"/>
              <w:color w:val="FF0000"/>
              <w:szCs w:val="16"/>
            </w:rPr>
            <w:t>23-</w:t>
          </w:r>
          <w:r w:rsidR="00EE1189">
            <w:rPr>
              <w:rFonts w:eastAsia="Calibri" w:cs="Times New Roman"/>
              <w:color w:val="FF0000"/>
              <w:szCs w:val="16"/>
            </w:rPr>
            <w:t>7358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FB28C51" w14:textId="77777777" w:rsidR="00ED54E0" w:rsidRPr="00182B84" w:rsidRDefault="007F6B7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166E9" w14:paraId="7767766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D74544" w14:textId="77777777" w:rsidR="00ED54E0" w:rsidRPr="00182B84" w:rsidRDefault="007F6B7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7893FF5" w14:textId="77777777" w:rsidR="00ED54E0" w:rsidRPr="00182B84" w:rsidRDefault="007F6B7F"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735B2BE"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1A6994C">
      <w:start w:val="1"/>
      <w:numFmt w:val="decimal"/>
      <w:pStyle w:val="SummaryText"/>
      <w:lvlText w:val="%1."/>
      <w:lvlJc w:val="left"/>
      <w:pPr>
        <w:ind w:left="360" w:hanging="360"/>
      </w:pPr>
    </w:lvl>
    <w:lvl w:ilvl="1" w:tplc="A146A20C" w:tentative="1">
      <w:start w:val="1"/>
      <w:numFmt w:val="lowerLetter"/>
      <w:lvlText w:val="%2."/>
      <w:lvlJc w:val="left"/>
      <w:pPr>
        <w:ind w:left="1080" w:hanging="360"/>
      </w:pPr>
    </w:lvl>
    <w:lvl w:ilvl="2" w:tplc="2E14204A" w:tentative="1">
      <w:start w:val="1"/>
      <w:numFmt w:val="lowerRoman"/>
      <w:lvlText w:val="%3."/>
      <w:lvlJc w:val="right"/>
      <w:pPr>
        <w:ind w:left="1800" w:hanging="180"/>
      </w:pPr>
    </w:lvl>
    <w:lvl w:ilvl="3" w:tplc="22A0CE6A" w:tentative="1">
      <w:start w:val="1"/>
      <w:numFmt w:val="decimal"/>
      <w:lvlText w:val="%4."/>
      <w:lvlJc w:val="left"/>
      <w:pPr>
        <w:ind w:left="2520" w:hanging="360"/>
      </w:pPr>
    </w:lvl>
    <w:lvl w:ilvl="4" w:tplc="334670B2" w:tentative="1">
      <w:start w:val="1"/>
      <w:numFmt w:val="lowerLetter"/>
      <w:lvlText w:val="%5."/>
      <w:lvlJc w:val="left"/>
      <w:pPr>
        <w:ind w:left="3240" w:hanging="360"/>
      </w:pPr>
    </w:lvl>
    <w:lvl w:ilvl="5" w:tplc="D59EC3B8" w:tentative="1">
      <w:start w:val="1"/>
      <w:numFmt w:val="lowerRoman"/>
      <w:lvlText w:val="%6."/>
      <w:lvlJc w:val="right"/>
      <w:pPr>
        <w:ind w:left="3960" w:hanging="180"/>
      </w:pPr>
    </w:lvl>
    <w:lvl w:ilvl="6" w:tplc="0C0A475C" w:tentative="1">
      <w:start w:val="1"/>
      <w:numFmt w:val="decimal"/>
      <w:lvlText w:val="%7."/>
      <w:lvlJc w:val="left"/>
      <w:pPr>
        <w:ind w:left="4680" w:hanging="360"/>
      </w:pPr>
    </w:lvl>
    <w:lvl w:ilvl="7" w:tplc="19F2C632" w:tentative="1">
      <w:start w:val="1"/>
      <w:numFmt w:val="lowerLetter"/>
      <w:lvlText w:val="%8."/>
      <w:lvlJc w:val="left"/>
      <w:pPr>
        <w:ind w:left="5400" w:hanging="360"/>
      </w:pPr>
    </w:lvl>
    <w:lvl w:ilvl="8" w:tplc="FAB82480" w:tentative="1">
      <w:start w:val="1"/>
      <w:numFmt w:val="lowerRoman"/>
      <w:lvlText w:val="%9."/>
      <w:lvlJc w:val="right"/>
      <w:pPr>
        <w:ind w:left="6120" w:hanging="180"/>
      </w:pPr>
    </w:lvl>
  </w:abstractNum>
  <w:num w:numId="1" w16cid:durableId="1061950276">
    <w:abstractNumId w:val="9"/>
  </w:num>
  <w:num w:numId="2" w16cid:durableId="1381902305">
    <w:abstractNumId w:val="7"/>
  </w:num>
  <w:num w:numId="3" w16cid:durableId="848256686">
    <w:abstractNumId w:val="6"/>
  </w:num>
  <w:num w:numId="4" w16cid:durableId="469593245">
    <w:abstractNumId w:val="5"/>
  </w:num>
  <w:num w:numId="5" w16cid:durableId="758060122">
    <w:abstractNumId w:val="4"/>
  </w:num>
  <w:num w:numId="6" w16cid:durableId="1253198738">
    <w:abstractNumId w:val="12"/>
  </w:num>
  <w:num w:numId="7" w16cid:durableId="940843285">
    <w:abstractNumId w:val="11"/>
  </w:num>
  <w:num w:numId="8" w16cid:durableId="608973445">
    <w:abstractNumId w:val="10"/>
  </w:num>
  <w:num w:numId="9" w16cid:durableId="8968230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097137">
    <w:abstractNumId w:val="13"/>
  </w:num>
  <w:num w:numId="11" w16cid:durableId="1123040491">
    <w:abstractNumId w:val="8"/>
  </w:num>
  <w:num w:numId="12" w16cid:durableId="799494723">
    <w:abstractNumId w:val="3"/>
  </w:num>
  <w:num w:numId="13" w16cid:durableId="1606620961">
    <w:abstractNumId w:val="2"/>
  </w:num>
  <w:num w:numId="14" w16cid:durableId="1335917159">
    <w:abstractNumId w:val="1"/>
  </w:num>
  <w:num w:numId="15" w16cid:durableId="12266734">
    <w:abstractNumId w:val="0"/>
  </w:num>
  <w:num w:numId="16" w16cid:durableId="209932785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166E9"/>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B7D9A"/>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B4592"/>
    <w:rsid w:val="007E6507"/>
    <w:rsid w:val="007F2B8E"/>
    <w:rsid w:val="007F32D1"/>
    <w:rsid w:val="007F38C2"/>
    <w:rsid w:val="007F6B7F"/>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04EDF"/>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3D5"/>
    <w:rsid w:val="00ED1D47"/>
    <w:rsid w:val="00ED54E0"/>
    <w:rsid w:val="00EE1189"/>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3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ing.wto.org/en/Search?domainIds=1&amp;documentSymbol=usa%2F1871" TargetMode="External"/><Relationship Id="rId18" Type="http://schemas.openxmlformats.org/officeDocument/2006/relationships/hyperlink" Target="https://24timezones.com/time-zone/e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docs.wto.org/imrd/directdoc.asp?DDFDocuments/t/g/tbtn22/usa1871a1.docx" TargetMode="External"/><Relationship Id="rId17" Type="http://schemas.openxmlformats.org/officeDocument/2006/relationships/hyperlink" Target="http://time-time.net/times/time-zones/usa-canada/current-eastern-time-est.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usatbtep@nist.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psc.gov/Newsroom/News-Releases/2023/CPSC-Requires-Lifesaving-Flame-Mitigation-Devices-on-Gas-Cans-and-Other-Portable-Fuel-Containe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regulations.gov/docket/CPSC-2022-0017/document" TargetMode="External"/><Relationship Id="rId23" Type="http://schemas.openxmlformats.org/officeDocument/2006/relationships/footer" Target="footer2.xml"/><Relationship Id="rId10" Type="http://schemas.openxmlformats.org/officeDocument/2006/relationships/hyperlink" Target="https://www.ecfr.gov/current/title-16/chapter-II/subchapter-B" TargetMode="External"/><Relationship Id="rId19" Type="http://schemas.openxmlformats.org/officeDocument/2006/relationships/hyperlink" Target="https://www.regulations.gov/docket/CPSC-2022-0017/document" TargetMode="External"/><Relationship Id="rId4" Type="http://schemas.openxmlformats.org/officeDocument/2006/relationships/styles" Target="styles.xml"/><Relationship Id="rId9" Type="http://schemas.openxmlformats.org/officeDocument/2006/relationships/hyperlink" Target="https://www.govinfo.gov/content/pkg/FR-2023-10-31/html/2023-23655.htm" TargetMode="External"/><Relationship Id="rId14" Type="http://schemas.openxmlformats.org/officeDocument/2006/relationships/hyperlink" Target="https://www.regulations.gov/"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6b8f9531-d5db-40be-b55e-84a670c2f5d3</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C9E91-9DFD-4A51-8350-9ED9CDB507C9}">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537</Words>
  <Characters>3085</Characters>
  <Application>Microsoft Office Word</Application>
  <DocSecurity>0</DocSecurity>
  <Lines>66</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2023-11-01T08:18:00Z</dcterms:created>
  <dcterms:modified xsi:type="dcterms:W3CDTF">2023-11-01T08:51:00Z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6b8f9531-d5db-40be-b55e-84a670c2f5d3</vt:lpwstr>
  </property>
  <property fmtid="{D5CDD505-2E9C-101B-9397-08002B2CF9AE}" pid="4" name="WTOCLASSIFICATION">
    <vt:lpwstr>WTO OFFICIAL</vt:lpwstr>
  </property>
</Properties>
</file>