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C4B9" w14:textId="77777777" w:rsidR="002D78C9" w:rsidRDefault="00A04968" w:rsidP="00DD3DD7">
      <w:pPr>
        <w:pStyle w:val="Title"/>
      </w:pPr>
      <w:r w:rsidRPr="002F663C">
        <w:t>NOTIFICATION</w:t>
      </w:r>
    </w:p>
    <w:p w14:paraId="0BF1D789" w14:textId="77777777" w:rsidR="002F663C" w:rsidRPr="002F663C" w:rsidRDefault="00A04968" w:rsidP="00DD3DD7">
      <w:pPr>
        <w:pStyle w:val="Title3"/>
      </w:pPr>
      <w:r w:rsidRPr="002F663C">
        <w:t>Addendum</w:t>
      </w:r>
    </w:p>
    <w:p w14:paraId="57E64C94" w14:textId="77777777" w:rsidR="002F663C" w:rsidRDefault="00A0496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914B13E" w14:textId="77777777" w:rsidR="001E2E4A" w:rsidRPr="002F663C" w:rsidRDefault="001E2E4A" w:rsidP="001E2E4A">
      <w:pPr>
        <w:rPr>
          <w:rFonts w:eastAsia="Calibri" w:cs="Times New Roman"/>
        </w:rPr>
      </w:pPr>
    </w:p>
    <w:p w14:paraId="69E06B71" w14:textId="77777777" w:rsidR="002F663C" w:rsidRPr="002F663C" w:rsidRDefault="00A04968" w:rsidP="002F663C">
      <w:pPr>
        <w:jc w:val="center"/>
        <w:rPr>
          <w:rFonts w:eastAsia="Calibri" w:cs="Times New Roman"/>
          <w:b/>
        </w:rPr>
      </w:pPr>
      <w:r w:rsidRPr="002F663C">
        <w:rPr>
          <w:rFonts w:eastAsia="Calibri" w:cs="Times New Roman"/>
          <w:b/>
        </w:rPr>
        <w:t>_______________</w:t>
      </w:r>
    </w:p>
    <w:p w14:paraId="6186B8AC" w14:textId="77777777" w:rsidR="002F663C" w:rsidRDefault="002F663C" w:rsidP="002F663C">
      <w:pPr>
        <w:rPr>
          <w:rFonts w:eastAsia="Calibri" w:cs="Times New Roman"/>
        </w:rPr>
      </w:pPr>
    </w:p>
    <w:p w14:paraId="08678A89" w14:textId="77777777" w:rsidR="00C14444" w:rsidRPr="002F663C" w:rsidRDefault="00C14444" w:rsidP="002F663C">
      <w:pPr>
        <w:rPr>
          <w:rFonts w:eastAsia="Calibri" w:cs="Times New Roman"/>
        </w:rPr>
      </w:pPr>
    </w:p>
    <w:p w14:paraId="073A5A67" w14:textId="77777777" w:rsidR="002F663C" w:rsidRPr="002F663C" w:rsidRDefault="00A0496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Asbestos Part 1: Chrysotile Asbestos; Regulation of Certain Conditions of Use Under Section 6(a) of the Toxic Substances Control Act (TSCA)</w:t>
      </w:r>
      <w:bookmarkEnd w:id="3"/>
    </w:p>
    <w:p w14:paraId="64AAD07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D46DA" w14:paraId="64C35E2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80C8E7F" w14:textId="77777777" w:rsidR="002F663C" w:rsidRPr="002F663C" w:rsidRDefault="00A0496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D46DA" w14:paraId="2CEFCD88" w14:textId="77777777" w:rsidTr="00E9471B">
        <w:tc>
          <w:tcPr>
            <w:tcW w:w="851" w:type="dxa"/>
            <w:shd w:val="clear" w:color="auto" w:fill="auto"/>
          </w:tcPr>
          <w:p w14:paraId="35FED01C" w14:textId="77777777" w:rsidR="002F663C" w:rsidRPr="00711F9C" w:rsidRDefault="00A0496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B829DE3" w14:textId="77777777" w:rsidR="002F663C" w:rsidRPr="002F663C" w:rsidRDefault="00A0496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D46DA" w14:paraId="024FEA60" w14:textId="77777777" w:rsidTr="00E9471B">
        <w:tc>
          <w:tcPr>
            <w:tcW w:w="851" w:type="dxa"/>
            <w:shd w:val="clear" w:color="auto" w:fill="auto"/>
          </w:tcPr>
          <w:p w14:paraId="06AC9980" w14:textId="77777777" w:rsidR="002F663C" w:rsidRPr="00711F9C" w:rsidRDefault="00A0496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68974BB" w14:textId="77777777" w:rsidR="002F663C" w:rsidRPr="002F663C" w:rsidRDefault="00A049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D46DA" w14:paraId="6AD3E0BB" w14:textId="77777777" w:rsidTr="00E9471B">
        <w:tc>
          <w:tcPr>
            <w:tcW w:w="851" w:type="dxa"/>
            <w:shd w:val="clear" w:color="auto" w:fill="auto"/>
          </w:tcPr>
          <w:p w14:paraId="4EDF2071" w14:textId="77777777" w:rsidR="002F663C" w:rsidRPr="00711F9C" w:rsidRDefault="00A0496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0EC7867" w14:textId="77777777" w:rsidR="002F663C" w:rsidRPr="002F663C" w:rsidRDefault="00A049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28 March 2024</w:t>
            </w:r>
            <w:bookmarkEnd w:id="10"/>
          </w:p>
        </w:tc>
      </w:tr>
      <w:tr w:rsidR="00CD46DA" w14:paraId="1E9EE058" w14:textId="77777777" w:rsidTr="00E9471B">
        <w:tc>
          <w:tcPr>
            <w:tcW w:w="851" w:type="dxa"/>
            <w:shd w:val="clear" w:color="auto" w:fill="auto"/>
          </w:tcPr>
          <w:p w14:paraId="5D61538D" w14:textId="77777777" w:rsidR="002F663C" w:rsidRPr="00711F9C" w:rsidRDefault="00A0496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9CF3E88" w14:textId="77777777" w:rsidR="002F663C" w:rsidRPr="002F663C" w:rsidRDefault="00A0496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28 May 2024</w:t>
            </w:r>
            <w:bookmarkEnd w:id="12"/>
          </w:p>
        </w:tc>
      </w:tr>
      <w:tr w:rsidR="00CD46DA" w14:paraId="35AE2BD8" w14:textId="77777777" w:rsidTr="00E9471B">
        <w:tc>
          <w:tcPr>
            <w:tcW w:w="851" w:type="dxa"/>
            <w:shd w:val="clear" w:color="auto" w:fill="auto"/>
          </w:tcPr>
          <w:p w14:paraId="50114A0A" w14:textId="77777777" w:rsidR="002F663C" w:rsidRPr="00711F9C" w:rsidRDefault="00A0496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25232B5" w14:textId="77777777" w:rsidR="002F663C" w:rsidRPr="002F663C" w:rsidRDefault="00A04968"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67011C2" w14:textId="77777777" w:rsidR="002F663C" w:rsidRPr="002F663C" w:rsidRDefault="00A04968" w:rsidP="00EB7B40">
            <w:pPr>
              <w:spacing w:before="120" w:after="120"/>
              <w:rPr>
                <w:rFonts w:eastAsia="Calibri" w:cs="Times New Roman"/>
              </w:rPr>
            </w:pPr>
            <w:r w:rsidRPr="002F663C">
              <w:rPr>
                <w:rFonts w:eastAsia="Calibri" w:cs="Times New Roman"/>
              </w:rPr>
              <w:t>89 Federal Register (FR) 21970, Title 40 Code of Federal Regulations (CFR) Part 751:</w:t>
            </w:r>
          </w:p>
          <w:p w14:paraId="74662EAB" w14:textId="77777777" w:rsidR="002F663C" w:rsidRPr="002F663C" w:rsidRDefault="00C25540" w:rsidP="00EB7B40">
            <w:pPr>
              <w:spacing w:before="120" w:after="120"/>
              <w:rPr>
                <w:rFonts w:eastAsia="Calibri" w:cs="Times New Roman"/>
              </w:rPr>
            </w:pPr>
            <w:hyperlink r:id="rId9" w:tgtFrame="_blank" w:history="1">
              <w:r w:rsidR="00A04968" w:rsidRPr="002F663C">
                <w:rPr>
                  <w:rFonts w:eastAsia="Calibri" w:cs="Times New Roman"/>
                  <w:color w:val="0000FF"/>
                  <w:u w:val="single"/>
                </w:rPr>
                <w:t>https://www.govinfo.gov/content/pkg/FR-2024-03-28/html/2024-05972.htm</w:t>
              </w:r>
            </w:hyperlink>
          </w:p>
          <w:p w14:paraId="0F19453E" w14:textId="77777777" w:rsidR="002F663C" w:rsidRPr="002F663C" w:rsidRDefault="00C25540" w:rsidP="00EB7B40">
            <w:pPr>
              <w:spacing w:before="120" w:after="120"/>
              <w:rPr>
                <w:rFonts w:eastAsia="Calibri" w:cs="Times New Roman"/>
              </w:rPr>
            </w:pPr>
            <w:hyperlink r:id="rId10" w:tgtFrame="_blank" w:history="1">
              <w:r w:rsidR="00A04968" w:rsidRPr="002F663C">
                <w:rPr>
                  <w:rFonts w:eastAsia="Calibri" w:cs="Times New Roman"/>
                  <w:color w:val="0000FF"/>
                  <w:u w:val="single"/>
                </w:rPr>
                <w:t>https://www.govinfo.gov/content/pkg/FR-2024-03-28/pdf/2024-05972.pdf</w:t>
              </w:r>
            </w:hyperlink>
          </w:p>
          <w:p w14:paraId="57821D62" w14:textId="77777777" w:rsidR="002F663C" w:rsidRPr="002F663C" w:rsidRDefault="00C25540" w:rsidP="00EB7B40">
            <w:pPr>
              <w:spacing w:before="120" w:after="120"/>
              <w:rPr>
                <w:rFonts w:eastAsia="Calibri" w:cs="Times New Roman"/>
              </w:rPr>
            </w:pPr>
            <w:hyperlink r:id="rId11" w:tgtFrame="_blank" w:history="1">
              <w:r w:rsidR="00A04968" w:rsidRPr="002F663C">
                <w:rPr>
                  <w:rFonts w:eastAsia="Calibri" w:cs="Times New Roman"/>
                  <w:color w:val="0000FF"/>
                  <w:u w:val="single"/>
                </w:rPr>
                <w:t>https://members.wto.org/crnattachments/2024/TBT/USA/final_measure/24_02353_00_e.pdf</w:t>
              </w:r>
            </w:hyperlink>
            <w:bookmarkEnd w:id="15"/>
          </w:p>
        </w:tc>
      </w:tr>
      <w:tr w:rsidR="00CD46DA" w14:paraId="627A061D" w14:textId="77777777" w:rsidTr="00E9471B">
        <w:tc>
          <w:tcPr>
            <w:tcW w:w="851" w:type="dxa"/>
            <w:shd w:val="clear" w:color="auto" w:fill="auto"/>
          </w:tcPr>
          <w:p w14:paraId="75D4BEE1" w14:textId="77777777" w:rsidR="002F663C" w:rsidRPr="00711F9C" w:rsidRDefault="00A0496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DABAD87" w14:textId="77777777" w:rsidR="002F663C" w:rsidRPr="002F663C" w:rsidRDefault="00A0496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E2D148C" w14:textId="77777777" w:rsidR="002F663C" w:rsidRPr="002F663C" w:rsidRDefault="00A0496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D46DA" w14:paraId="7204BA31" w14:textId="77777777" w:rsidTr="00E9471B">
        <w:tc>
          <w:tcPr>
            <w:tcW w:w="851" w:type="dxa"/>
            <w:shd w:val="clear" w:color="auto" w:fill="auto"/>
          </w:tcPr>
          <w:p w14:paraId="7E497CC5" w14:textId="77777777" w:rsidR="002F663C" w:rsidRPr="00711F9C" w:rsidRDefault="00A0496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4448388" w14:textId="77777777" w:rsidR="002F663C" w:rsidRPr="002F663C" w:rsidRDefault="00A0496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376DCE3" w14:textId="77777777" w:rsidR="002F663C" w:rsidRPr="002F663C" w:rsidRDefault="00A0496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D46DA" w14:paraId="6F87A366" w14:textId="77777777" w:rsidTr="00E9471B">
        <w:tc>
          <w:tcPr>
            <w:tcW w:w="851" w:type="dxa"/>
            <w:shd w:val="clear" w:color="auto" w:fill="auto"/>
          </w:tcPr>
          <w:p w14:paraId="3A67DFD0" w14:textId="77777777" w:rsidR="002F663C" w:rsidRPr="00711F9C" w:rsidRDefault="00A0496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E020BB3" w14:textId="77777777" w:rsidR="002F663C" w:rsidRPr="002F663C" w:rsidRDefault="00A0496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D46DA" w14:paraId="1D667FE6" w14:textId="77777777" w:rsidTr="00E9471B">
        <w:tc>
          <w:tcPr>
            <w:tcW w:w="851" w:type="dxa"/>
            <w:tcBorders>
              <w:bottom w:val="double" w:sz="4" w:space="0" w:color="auto"/>
            </w:tcBorders>
            <w:shd w:val="clear" w:color="auto" w:fill="auto"/>
          </w:tcPr>
          <w:p w14:paraId="419463EF" w14:textId="77777777" w:rsidR="002F663C" w:rsidRPr="00711F9C" w:rsidRDefault="00A0496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4CAA69B" w14:textId="77777777" w:rsidR="002F663C" w:rsidRPr="002F663C" w:rsidRDefault="00A0496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0454A23" w14:textId="77777777" w:rsidR="002F663C" w:rsidRPr="002F663C" w:rsidRDefault="002F663C" w:rsidP="002F663C">
      <w:pPr>
        <w:jc w:val="left"/>
        <w:rPr>
          <w:rFonts w:eastAsia="Calibri" w:cs="Times New Roman"/>
          <w:highlight w:val="yellow"/>
        </w:rPr>
      </w:pPr>
    </w:p>
    <w:p w14:paraId="7D39E14D" w14:textId="77777777" w:rsidR="003971FF" w:rsidRPr="007F6EA2" w:rsidRDefault="00A0496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Environmental Protection Agency (EPA or the Agency) is issuing this final rule under the Toxic Substances Control Act (</w:t>
      </w:r>
      <w:hyperlink r:id="rId12" w:history="1">
        <w:r w:rsidRPr="002F663C">
          <w:rPr>
            <w:rFonts w:eastAsia="Calibri" w:cs="Times New Roman"/>
            <w:color w:val="0000FF"/>
            <w:szCs w:val="18"/>
            <w:u w:val="single"/>
          </w:rPr>
          <w:t>TSCA</w:t>
        </w:r>
      </w:hyperlink>
      <w:r w:rsidRPr="002F663C">
        <w:rPr>
          <w:rFonts w:eastAsia="Calibri" w:cs="Times New Roman"/>
          <w:szCs w:val="18"/>
        </w:rPr>
        <w:t>) to address to the extent necessary the unreasonable risk of injury to health presented by chrysotile asbestos based on the risks posed by certain conditions of use. The injuries to human health include mesothelioma and lung, ovarian, and laryngeal cancers resulting from chronic inhalation exposure to chrysotile asbestos.</w:t>
      </w:r>
    </w:p>
    <w:p w14:paraId="308536D8" w14:textId="77777777" w:rsidR="000558D5" w:rsidRPr="002F663C" w:rsidRDefault="00A04968" w:rsidP="00B16ACF">
      <w:pPr>
        <w:spacing w:before="120" w:after="120"/>
        <w:rPr>
          <w:rFonts w:eastAsia="Calibri" w:cs="Times New Roman"/>
          <w:szCs w:val="18"/>
        </w:rPr>
      </w:pPr>
      <w:r w:rsidRPr="002F663C">
        <w:rPr>
          <w:rFonts w:eastAsia="Calibri" w:cs="Times New Roman"/>
          <w:szCs w:val="18"/>
        </w:rPr>
        <w:t>This final rule is effective on 28 May 2024.</w:t>
      </w:r>
    </w:p>
    <w:p w14:paraId="0195C5AE" w14:textId="77777777" w:rsidR="000558D5" w:rsidRPr="002F663C" w:rsidRDefault="00C25540" w:rsidP="00B16ACF">
      <w:pPr>
        <w:spacing w:before="120" w:after="120"/>
        <w:rPr>
          <w:rFonts w:eastAsia="Calibri" w:cs="Times New Roman"/>
          <w:szCs w:val="18"/>
        </w:rPr>
      </w:pPr>
      <w:hyperlink r:id="rId13" w:history="1">
        <w:r w:rsidR="00A04968" w:rsidRPr="002F663C">
          <w:rPr>
            <w:rFonts w:eastAsia="Calibri" w:cs="Times New Roman"/>
            <w:color w:val="0000FF"/>
            <w:szCs w:val="18"/>
            <w:u w:val="single"/>
          </w:rPr>
          <w:t>Title 40 Code of Federal Regulations (CFR) Part 751</w:t>
        </w:r>
      </w:hyperlink>
    </w:p>
    <w:p w14:paraId="69CD4314" w14:textId="77777777" w:rsidR="000558D5" w:rsidRPr="002F663C" w:rsidRDefault="00A04968"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4" w:history="1">
        <w:r w:rsidRPr="002F663C">
          <w:rPr>
            <w:rFonts w:eastAsia="Calibri" w:cs="Times New Roman"/>
            <w:color w:val="0000FF"/>
            <w:szCs w:val="18"/>
            <w:u w:val="single"/>
          </w:rPr>
          <w:t>G/TBT/N/USA/1850</w:t>
        </w:r>
      </w:hyperlink>
      <w:r w:rsidRPr="002F663C">
        <w:rPr>
          <w:rFonts w:eastAsia="Calibri" w:cs="Times New Roman"/>
          <w:szCs w:val="18"/>
        </w:rPr>
        <w:t xml:space="preserve"> are identified by Docket Number EPA-HQ-OPPT-2021-0057. The Docket Folder is available on Regulations.gov at </w:t>
      </w:r>
      <w:hyperlink r:id="rId15" w:history="1">
        <w:r w:rsidRPr="002F663C">
          <w:rPr>
            <w:rFonts w:eastAsia="Calibri" w:cs="Times New Roman"/>
            <w:color w:val="0000FF"/>
            <w:szCs w:val="18"/>
            <w:u w:val="single"/>
          </w:rPr>
          <w:t>https://www.regulations.gov/docket/EPA-HQ-OPPT-2021-0057/document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0293502E" w14:textId="77777777" w:rsidR="006C5A96" w:rsidRDefault="00A04968" w:rsidP="006C5A96">
      <w:pPr>
        <w:jc w:val="center"/>
        <w:rPr>
          <w:b/>
        </w:rPr>
      </w:pPr>
      <w:r w:rsidRPr="003971FF">
        <w:rPr>
          <w:b/>
        </w:rPr>
        <w:t>__________</w:t>
      </w:r>
    </w:p>
    <w:p w14:paraId="6877A197" w14:textId="77777777" w:rsidR="004D4D19" w:rsidRDefault="004D4D19" w:rsidP="007F38C2">
      <w:pPr>
        <w:jc w:val="center"/>
        <w:rPr>
          <w:b/>
        </w:rPr>
      </w:pPr>
    </w:p>
    <w:p w14:paraId="507F167E"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9464" w14:textId="77777777" w:rsidR="00A04968" w:rsidRDefault="00A04968">
      <w:r>
        <w:separator/>
      </w:r>
    </w:p>
  </w:endnote>
  <w:endnote w:type="continuationSeparator" w:id="0">
    <w:p w14:paraId="7AB609AB" w14:textId="77777777" w:rsidR="00A04968" w:rsidRDefault="00A0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EC2E" w14:textId="77777777" w:rsidR="00544326" w:rsidRPr="00DD3DD7" w:rsidRDefault="00A0496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80D8" w14:textId="77777777" w:rsidR="00544326" w:rsidRPr="00DD3DD7" w:rsidRDefault="00A0496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A4BC" w14:textId="77777777" w:rsidR="00D938D7" w:rsidRDefault="00D9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EAFE" w14:textId="77777777" w:rsidR="000248E6" w:rsidRDefault="00A04968" w:rsidP="00ED54E0">
      <w:r>
        <w:separator/>
      </w:r>
    </w:p>
  </w:footnote>
  <w:footnote w:type="continuationSeparator" w:id="0">
    <w:p w14:paraId="05A317EE" w14:textId="77777777" w:rsidR="000248E6" w:rsidRDefault="00A04968" w:rsidP="00ED54E0">
      <w:r>
        <w:continuationSeparator/>
      </w:r>
    </w:p>
  </w:footnote>
  <w:footnote w:id="1">
    <w:p w14:paraId="28758F0D" w14:textId="77777777" w:rsidR="007F6EA2" w:rsidRDefault="00A0496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F452" w14:textId="77777777" w:rsidR="00DD3DD7" w:rsidRDefault="00A0496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ECBC05C" w14:textId="77777777" w:rsidR="004D4D19" w:rsidRPr="00DD3DD7" w:rsidRDefault="004D4D19" w:rsidP="00DD3DD7">
    <w:pPr>
      <w:pStyle w:val="Header"/>
      <w:pBdr>
        <w:bottom w:val="single" w:sz="4" w:space="1" w:color="auto"/>
      </w:pBdr>
      <w:tabs>
        <w:tab w:val="clear" w:pos="4513"/>
        <w:tab w:val="clear" w:pos="9027"/>
      </w:tabs>
      <w:jc w:val="center"/>
    </w:pPr>
  </w:p>
  <w:p w14:paraId="499F69B4" w14:textId="77777777" w:rsidR="00DD3DD7" w:rsidRPr="00DD3DD7" w:rsidRDefault="00A0496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3A707E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7558" w14:textId="77777777" w:rsidR="00DD3DD7" w:rsidRPr="00A04968" w:rsidRDefault="00A04968" w:rsidP="00DD3DD7">
    <w:pPr>
      <w:pStyle w:val="Header"/>
      <w:pBdr>
        <w:bottom w:val="single" w:sz="4" w:space="1" w:color="auto"/>
      </w:pBdr>
      <w:tabs>
        <w:tab w:val="clear" w:pos="4513"/>
        <w:tab w:val="clear" w:pos="9027"/>
      </w:tabs>
      <w:jc w:val="center"/>
      <w:rPr>
        <w:lang w:val="es-ES"/>
      </w:rPr>
    </w:pPr>
    <w:bookmarkStart w:id="28" w:name="spsSymbolHeader"/>
    <w:r w:rsidRPr="00A04968">
      <w:rPr>
        <w:lang w:val="es-ES"/>
      </w:rPr>
      <w:t>G/TBT/N/USA/1850/Add.3</w:t>
    </w:r>
    <w:bookmarkEnd w:id="28"/>
  </w:p>
  <w:p w14:paraId="684CA721" w14:textId="77777777" w:rsidR="00DD3DD7" w:rsidRPr="00A04968" w:rsidRDefault="00DD3DD7" w:rsidP="00DD3DD7">
    <w:pPr>
      <w:pStyle w:val="Header"/>
      <w:pBdr>
        <w:bottom w:val="single" w:sz="4" w:space="1" w:color="auto"/>
      </w:pBdr>
      <w:tabs>
        <w:tab w:val="clear" w:pos="4513"/>
        <w:tab w:val="clear" w:pos="9027"/>
      </w:tabs>
      <w:jc w:val="center"/>
      <w:rPr>
        <w:lang w:val="es-ES"/>
      </w:rPr>
    </w:pPr>
  </w:p>
  <w:p w14:paraId="5FB487FC" w14:textId="77777777" w:rsidR="00DD3DD7" w:rsidRPr="00DD3DD7" w:rsidRDefault="00A0496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BD1B71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46DA" w14:paraId="14D07344" w14:textId="77777777" w:rsidTr="00544326">
      <w:trPr>
        <w:trHeight w:val="240"/>
        <w:jc w:val="center"/>
      </w:trPr>
      <w:tc>
        <w:tcPr>
          <w:tcW w:w="3794" w:type="dxa"/>
          <w:shd w:val="clear" w:color="auto" w:fill="FFFFFF"/>
          <w:tcMar>
            <w:left w:w="108" w:type="dxa"/>
            <w:right w:w="108" w:type="dxa"/>
          </w:tcMar>
          <w:vAlign w:val="center"/>
        </w:tcPr>
        <w:p w14:paraId="6771E80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7E05959" w14:textId="77777777" w:rsidR="00ED54E0" w:rsidRPr="00182B84" w:rsidRDefault="00A04968" w:rsidP="00425DC5">
          <w:pPr>
            <w:jc w:val="right"/>
            <w:rPr>
              <w:b/>
              <w:color w:val="FF0000"/>
              <w:szCs w:val="16"/>
            </w:rPr>
          </w:pPr>
          <w:r>
            <w:rPr>
              <w:b/>
              <w:color w:val="FF0000"/>
              <w:szCs w:val="16"/>
            </w:rPr>
            <w:t xml:space="preserve"> </w:t>
          </w:r>
        </w:p>
      </w:tc>
    </w:tr>
    <w:tr w:rsidR="00CD46DA" w14:paraId="654F54FF" w14:textId="77777777" w:rsidTr="00544326">
      <w:trPr>
        <w:trHeight w:val="213"/>
        <w:jc w:val="center"/>
      </w:trPr>
      <w:tc>
        <w:tcPr>
          <w:tcW w:w="3794" w:type="dxa"/>
          <w:vMerge w:val="restart"/>
          <w:shd w:val="clear" w:color="auto" w:fill="FFFFFF"/>
          <w:tcMar>
            <w:left w:w="0" w:type="dxa"/>
            <w:right w:w="0" w:type="dxa"/>
          </w:tcMar>
        </w:tcPr>
        <w:p w14:paraId="1BE2B991" w14:textId="77777777" w:rsidR="00ED54E0" w:rsidRPr="00182B84" w:rsidRDefault="00A04968" w:rsidP="00425DC5">
          <w:pPr>
            <w:jc w:val="left"/>
          </w:pPr>
          <w:r w:rsidRPr="00182B84">
            <w:rPr>
              <w:noProof/>
              <w:lang w:val="en-US"/>
            </w:rPr>
            <w:drawing>
              <wp:inline distT="0" distB="0" distL="0" distR="0" wp14:anchorId="744A9F92" wp14:editId="6DD8926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273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F5BC8D" w14:textId="77777777" w:rsidR="00ED54E0" w:rsidRPr="00182B84" w:rsidRDefault="00ED54E0" w:rsidP="00425DC5">
          <w:pPr>
            <w:jc w:val="right"/>
            <w:rPr>
              <w:b/>
              <w:szCs w:val="16"/>
            </w:rPr>
          </w:pPr>
        </w:p>
      </w:tc>
    </w:tr>
    <w:tr w:rsidR="00CD46DA" w:rsidRPr="00C25540" w14:paraId="76813D64" w14:textId="77777777" w:rsidTr="00544326">
      <w:trPr>
        <w:trHeight w:val="868"/>
        <w:jc w:val="center"/>
      </w:trPr>
      <w:tc>
        <w:tcPr>
          <w:tcW w:w="3794" w:type="dxa"/>
          <w:vMerge/>
          <w:shd w:val="clear" w:color="auto" w:fill="FFFFFF"/>
          <w:tcMar>
            <w:left w:w="108" w:type="dxa"/>
            <w:right w:w="108" w:type="dxa"/>
          </w:tcMar>
        </w:tcPr>
        <w:p w14:paraId="2F7CAA6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CA31819" w14:textId="77777777" w:rsidR="00DD3DD7" w:rsidRPr="00A04968" w:rsidRDefault="00A04968" w:rsidP="00DD3DD7">
          <w:pPr>
            <w:jc w:val="right"/>
            <w:rPr>
              <w:rFonts w:eastAsia="Calibri" w:cs="Times New Roman"/>
              <w:b/>
              <w:szCs w:val="16"/>
              <w:lang w:val="es-ES"/>
            </w:rPr>
          </w:pPr>
          <w:bookmarkStart w:id="29" w:name="bmkSymbols"/>
          <w:r w:rsidRPr="00A04968">
            <w:rPr>
              <w:rFonts w:eastAsia="Calibri" w:cs="Times New Roman"/>
              <w:b/>
              <w:szCs w:val="16"/>
              <w:lang w:val="es-ES"/>
            </w:rPr>
            <w:t>G/TBT/N/USA/1850/Add.3</w:t>
          </w:r>
          <w:bookmarkEnd w:id="29"/>
        </w:p>
        <w:p w14:paraId="77E064A0" w14:textId="77777777" w:rsidR="00C14444" w:rsidRPr="00A04968" w:rsidRDefault="00C14444" w:rsidP="00C14444">
          <w:pPr>
            <w:jc w:val="center"/>
            <w:rPr>
              <w:szCs w:val="16"/>
              <w:lang w:val="es-ES"/>
            </w:rPr>
          </w:pPr>
        </w:p>
      </w:tc>
    </w:tr>
    <w:tr w:rsidR="00CD46DA" w:rsidRPr="00A04968" w14:paraId="300BDF2E" w14:textId="77777777" w:rsidTr="00544326">
      <w:trPr>
        <w:trHeight w:val="240"/>
        <w:jc w:val="center"/>
      </w:trPr>
      <w:tc>
        <w:tcPr>
          <w:tcW w:w="3794" w:type="dxa"/>
          <w:vMerge/>
          <w:shd w:val="clear" w:color="auto" w:fill="FFFFFF"/>
          <w:tcMar>
            <w:left w:w="108" w:type="dxa"/>
            <w:right w:w="108" w:type="dxa"/>
          </w:tcMar>
          <w:vAlign w:val="center"/>
        </w:tcPr>
        <w:p w14:paraId="571D1B7D" w14:textId="77777777" w:rsidR="00ED54E0" w:rsidRPr="00A04968" w:rsidRDefault="00ED54E0" w:rsidP="00425DC5">
          <w:pPr>
            <w:rPr>
              <w:lang w:val="es-ES"/>
            </w:rPr>
          </w:pPr>
        </w:p>
      </w:tc>
      <w:tc>
        <w:tcPr>
          <w:tcW w:w="5448" w:type="dxa"/>
          <w:gridSpan w:val="2"/>
          <w:shd w:val="clear" w:color="auto" w:fill="FFFFFF"/>
          <w:tcMar>
            <w:left w:w="108" w:type="dxa"/>
            <w:right w:w="108" w:type="dxa"/>
          </w:tcMar>
          <w:vAlign w:val="center"/>
        </w:tcPr>
        <w:p w14:paraId="12B4757C" w14:textId="67528291" w:rsidR="00ED54E0" w:rsidRPr="00A04968" w:rsidRDefault="00A04968" w:rsidP="00425DC5">
          <w:pPr>
            <w:jc w:val="right"/>
            <w:rPr>
              <w:szCs w:val="16"/>
              <w:lang w:val="es-ES"/>
            </w:rPr>
          </w:pPr>
          <w:bookmarkStart w:id="30" w:name="bmkDate"/>
          <w:bookmarkEnd w:id="30"/>
          <w:r>
            <w:rPr>
              <w:szCs w:val="16"/>
              <w:lang w:val="es-ES"/>
            </w:rPr>
            <w:t>2 April 2024</w:t>
          </w:r>
        </w:p>
      </w:tc>
    </w:tr>
    <w:tr w:rsidR="00CD46DA" w14:paraId="167165D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7DA5FA" w14:textId="455DE9CC" w:rsidR="00ED54E0" w:rsidRPr="00182B84" w:rsidRDefault="00A0496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C25540">
            <w:rPr>
              <w:rFonts w:eastAsia="Calibri" w:cs="Times New Roman"/>
              <w:color w:val="FF0000"/>
              <w:szCs w:val="16"/>
            </w:rPr>
            <w:t>2</w:t>
          </w:r>
          <w:r w:rsidR="00D938D7">
            <w:rPr>
              <w:rFonts w:eastAsia="Calibri" w:cs="Times New Roman"/>
              <w:color w:val="FF0000"/>
              <w:szCs w:val="16"/>
            </w:rPr>
            <w:t>792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9553F7D" w14:textId="77777777" w:rsidR="00ED54E0" w:rsidRPr="00182B84" w:rsidRDefault="00A0496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D46DA" w14:paraId="5DC182F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5BE0BD" w14:textId="77777777" w:rsidR="00ED54E0" w:rsidRPr="00182B84" w:rsidRDefault="00A0496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AC97605" w14:textId="77777777" w:rsidR="00ED54E0" w:rsidRPr="00182B84" w:rsidRDefault="00A0496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3CA462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A05522">
      <w:start w:val="1"/>
      <w:numFmt w:val="decimal"/>
      <w:pStyle w:val="SummaryText"/>
      <w:lvlText w:val="%1."/>
      <w:lvlJc w:val="left"/>
      <w:pPr>
        <w:ind w:left="360" w:hanging="360"/>
      </w:pPr>
    </w:lvl>
    <w:lvl w:ilvl="1" w:tplc="81C26B24" w:tentative="1">
      <w:start w:val="1"/>
      <w:numFmt w:val="lowerLetter"/>
      <w:lvlText w:val="%2."/>
      <w:lvlJc w:val="left"/>
      <w:pPr>
        <w:ind w:left="1080" w:hanging="360"/>
      </w:pPr>
    </w:lvl>
    <w:lvl w:ilvl="2" w:tplc="D542E884" w:tentative="1">
      <w:start w:val="1"/>
      <w:numFmt w:val="lowerRoman"/>
      <w:lvlText w:val="%3."/>
      <w:lvlJc w:val="right"/>
      <w:pPr>
        <w:ind w:left="1800" w:hanging="180"/>
      </w:pPr>
    </w:lvl>
    <w:lvl w:ilvl="3" w:tplc="CC1C08FA" w:tentative="1">
      <w:start w:val="1"/>
      <w:numFmt w:val="decimal"/>
      <w:lvlText w:val="%4."/>
      <w:lvlJc w:val="left"/>
      <w:pPr>
        <w:ind w:left="2520" w:hanging="360"/>
      </w:pPr>
    </w:lvl>
    <w:lvl w:ilvl="4" w:tplc="A9F6BC36" w:tentative="1">
      <w:start w:val="1"/>
      <w:numFmt w:val="lowerLetter"/>
      <w:lvlText w:val="%5."/>
      <w:lvlJc w:val="left"/>
      <w:pPr>
        <w:ind w:left="3240" w:hanging="360"/>
      </w:pPr>
    </w:lvl>
    <w:lvl w:ilvl="5" w:tplc="EEC0FF5A" w:tentative="1">
      <w:start w:val="1"/>
      <w:numFmt w:val="lowerRoman"/>
      <w:lvlText w:val="%6."/>
      <w:lvlJc w:val="right"/>
      <w:pPr>
        <w:ind w:left="3960" w:hanging="180"/>
      </w:pPr>
    </w:lvl>
    <w:lvl w:ilvl="6" w:tplc="CE5C55EE" w:tentative="1">
      <w:start w:val="1"/>
      <w:numFmt w:val="decimal"/>
      <w:lvlText w:val="%7."/>
      <w:lvlJc w:val="left"/>
      <w:pPr>
        <w:ind w:left="4680" w:hanging="360"/>
      </w:pPr>
    </w:lvl>
    <w:lvl w:ilvl="7" w:tplc="F490BBA0" w:tentative="1">
      <w:start w:val="1"/>
      <w:numFmt w:val="lowerLetter"/>
      <w:lvlText w:val="%8."/>
      <w:lvlJc w:val="left"/>
      <w:pPr>
        <w:ind w:left="5400" w:hanging="360"/>
      </w:pPr>
    </w:lvl>
    <w:lvl w:ilvl="8" w:tplc="7B8C41BE" w:tentative="1">
      <w:start w:val="1"/>
      <w:numFmt w:val="lowerRoman"/>
      <w:lvlText w:val="%9."/>
      <w:lvlJc w:val="right"/>
      <w:pPr>
        <w:ind w:left="6120" w:hanging="180"/>
      </w:pPr>
    </w:lvl>
  </w:abstractNum>
  <w:num w:numId="1" w16cid:durableId="367335413">
    <w:abstractNumId w:val="9"/>
  </w:num>
  <w:num w:numId="2" w16cid:durableId="1678917789">
    <w:abstractNumId w:val="7"/>
  </w:num>
  <w:num w:numId="3" w16cid:durableId="88626373">
    <w:abstractNumId w:val="6"/>
  </w:num>
  <w:num w:numId="4" w16cid:durableId="1765102629">
    <w:abstractNumId w:val="5"/>
  </w:num>
  <w:num w:numId="5" w16cid:durableId="1479497183">
    <w:abstractNumId w:val="4"/>
  </w:num>
  <w:num w:numId="6" w16cid:durableId="584875341">
    <w:abstractNumId w:val="12"/>
  </w:num>
  <w:num w:numId="7" w16cid:durableId="381829205">
    <w:abstractNumId w:val="11"/>
  </w:num>
  <w:num w:numId="8" w16cid:durableId="1350763299">
    <w:abstractNumId w:val="10"/>
  </w:num>
  <w:num w:numId="9" w16cid:durableId="1685282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862556">
    <w:abstractNumId w:val="13"/>
  </w:num>
  <w:num w:numId="11" w16cid:durableId="1484397371">
    <w:abstractNumId w:val="8"/>
  </w:num>
  <w:num w:numId="12" w16cid:durableId="983314050">
    <w:abstractNumId w:val="3"/>
  </w:num>
  <w:num w:numId="13" w16cid:durableId="754714325">
    <w:abstractNumId w:val="2"/>
  </w:num>
  <w:num w:numId="14" w16cid:durableId="1799058834">
    <w:abstractNumId w:val="1"/>
  </w:num>
  <w:num w:numId="15" w16cid:durableId="1069959805">
    <w:abstractNumId w:val="0"/>
  </w:num>
  <w:num w:numId="16" w16cid:durableId="136960059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558D5"/>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04968"/>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25540"/>
    <w:rsid w:val="00C305D7"/>
    <w:rsid w:val="00C30F2A"/>
    <w:rsid w:val="00C425A5"/>
    <w:rsid w:val="00C43456"/>
    <w:rsid w:val="00C50BF8"/>
    <w:rsid w:val="00C65C0C"/>
    <w:rsid w:val="00C808FC"/>
    <w:rsid w:val="00C90A38"/>
    <w:rsid w:val="00C94EC2"/>
    <w:rsid w:val="00CA5556"/>
    <w:rsid w:val="00CB629C"/>
    <w:rsid w:val="00CD46DA"/>
    <w:rsid w:val="00CD7D97"/>
    <w:rsid w:val="00CE3EE6"/>
    <w:rsid w:val="00CE4BA1"/>
    <w:rsid w:val="00D000C7"/>
    <w:rsid w:val="00D221B8"/>
    <w:rsid w:val="00D22E2C"/>
    <w:rsid w:val="00D51C5C"/>
    <w:rsid w:val="00D52A9D"/>
    <w:rsid w:val="00D55AAD"/>
    <w:rsid w:val="00D747AE"/>
    <w:rsid w:val="00D90746"/>
    <w:rsid w:val="00D9226C"/>
    <w:rsid w:val="00D938D7"/>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1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chapter-I/subchapter-R/part-751?toc=1"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epa.gov/laws-regulations/summary-toxic-substances-control-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353_00_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gulations.gov/docket/EPA-HQ-OPPT-2021-0057/document" TargetMode="External"/><Relationship Id="rId23" Type="http://schemas.openxmlformats.org/officeDocument/2006/relationships/fontTable" Target="fontTable.xml"/><Relationship Id="rId10" Type="http://schemas.openxmlformats.org/officeDocument/2006/relationships/hyperlink" Target="https://www.govinfo.gov/content/pkg/FR-2024-03-28/pdf/2024-05972.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info.gov/content/pkg/FR-2024-03-28/html/2024-05972.htm" TargetMode="External"/><Relationship Id="rId14" Type="http://schemas.openxmlformats.org/officeDocument/2006/relationships/hyperlink" Target="https://eping.wto.org/en/Search?domainIds=1&amp;documentSymbol=usa%2F185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79A8E-101F-465E-901B-028C6433024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395</Words>
  <Characters>2519</Characters>
  <Application>Microsoft Office Word</Application>
  <DocSecurity>0</DocSecurity>
  <Lines>71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2024-04-02T09:01:00Z</dcterms:created>
  <dcterms:modified xsi:type="dcterms:W3CDTF">2024-04-02T09:20:00Z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