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C114" w14:textId="77777777" w:rsidR="002D78C9" w:rsidRDefault="007718CA" w:rsidP="00DD3DD7">
      <w:pPr>
        <w:pStyle w:val="Title"/>
      </w:pPr>
      <w:r w:rsidRPr="002F663C">
        <w:t>NOTIFICATION</w:t>
      </w:r>
    </w:p>
    <w:p w14:paraId="05D1F1FD" w14:textId="77777777" w:rsidR="002F663C" w:rsidRPr="002F663C" w:rsidRDefault="007718CA" w:rsidP="00DD3DD7">
      <w:pPr>
        <w:pStyle w:val="Title3"/>
      </w:pPr>
      <w:r w:rsidRPr="002F663C">
        <w:t>Addendum</w:t>
      </w:r>
    </w:p>
    <w:p w14:paraId="623D2297" w14:textId="2146DC27" w:rsidR="002F663C" w:rsidRDefault="007718C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8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5E64F716" w14:textId="77777777" w:rsidR="001E2E4A" w:rsidRPr="002F663C" w:rsidRDefault="001E2E4A" w:rsidP="001E2E4A">
      <w:pPr>
        <w:rPr>
          <w:rFonts w:eastAsia="Calibri" w:cs="Times New Roman"/>
        </w:rPr>
      </w:pPr>
    </w:p>
    <w:p w14:paraId="6267E6F9" w14:textId="77777777" w:rsidR="002F663C" w:rsidRPr="002F663C" w:rsidRDefault="007718CA" w:rsidP="002F663C">
      <w:pPr>
        <w:jc w:val="center"/>
        <w:rPr>
          <w:rFonts w:eastAsia="Calibri" w:cs="Times New Roman"/>
          <w:b/>
        </w:rPr>
      </w:pPr>
      <w:r w:rsidRPr="002F663C">
        <w:rPr>
          <w:rFonts w:eastAsia="Calibri" w:cs="Times New Roman"/>
          <w:b/>
        </w:rPr>
        <w:t>_______________</w:t>
      </w:r>
    </w:p>
    <w:p w14:paraId="4714D272" w14:textId="77777777" w:rsidR="002F663C" w:rsidRDefault="002F663C" w:rsidP="002F663C">
      <w:pPr>
        <w:rPr>
          <w:rFonts w:eastAsia="Calibri" w:cs="Times New Roman"/>
        </w:rPr>
      </w:pPr>
    </w:p>
    <w:p w14:paraId="04DA4027" w14:textId="77777777" w:rsidR="00C14444" w:rsidRPr="002F663C" w:rsidRDefault="00C14444" w:rsidP="002F663C">
      <w:pPr>
        <w:rPr>
          <w:rFonts w:eastAsia="Calibri" w:cs="Times New Roman"/>
        </w:rPr>
      </w:pPr>
    </w:p>
    <w:p w14:paraId="43DBB863" w14:textId="77777777" w:rsidR="002F663C" w:rsidRPr="002F663C" w:rsidRDefault="007718C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National Emission Standards for Hazardous Air Pollutants: Ethylene Oxide Emissions Standards for Sterilization Facilities Residual Risk and Technology Review</w:t>
      </w:r>
      <w:bookmarkEnd w:id="3"/>
    </w:p>
    <w:p w14:paraId="5F3D8BD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549E0" w14:paraId="25F399B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72AF486" w14:textId="77777777" w:rsidR="002F663C" w:rsidRPr="002F663C" w:rsidRDefault="007718C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7549E0" w14:paraId="1AA413AA" w14:textId="77777777" w:rsidTr="00E9471B">
        <w:tc>
          <w:tcPr>
            <w:tcW w:w="851" w:type="dxa"/>
            <w:shd w:val="clear" w:color="auto" w:fill="auto"/>
          </w:tcPr>
          <w:p w14:paraId="0D5CBD94" w14:textId="77777777" w:rsidR="002F663C" w:rsidRPr="00711F9C" w:rsidRDefault="007718C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9E17DCE" w14:textId="77777777" w:rsidR="002F663C" w:rsidRPr="002F663C" w:rsidRDefault="007718C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7549E0" w14:paraId="0A897611" w14:textId="77777777" w:rsidTr="00E9471B">
        <w:tc>
          <w:tcPr>
            <w:tcW w:w="851" w:type="dxa"/>
            <w:shd w:val="clear" w:color="auto" w:fill="auto"/>
          </w:tcPr>
          <w:p w14:paraId="239333B5" w14:textId="77777777" w:rsidR="002F663C" w:rsidRPr="00711F9C" w:rsidRDefault="007718C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1335D26" w14:textId="77777777" w:rsidR="002F663C" w:rsidRPr="002F663C" w:rsidRDefault="007718C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7549E0" w14:paraId="13EF8542" w14:textId="77777777" w:rsidTr="00E9471B">
        <w:tc>
          <w:tcPr>
            <w:tcW w:w="851" w:type="dxa"/>
            <w:shd w:val="clear" w:color="auto" w:fill="auto"/>
          </w:tcPr>
          <w:p w14:paraId="568315EF" w14:textId="77777777" w:rsidR="002F663C" w:rsidRPr="00711F9C" w:rsidRDefault="007718C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DED4EA8" w14:textId="77777777" w:rsidR="002F663C" w:rsidRPr="002F663C" w:rsidRDefault="007718C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5 April 2024;</w:t>
            </w:r>
            <w:bookmarkEnd w:id="10"/>
          </w:p>
        </w:tc>
      </w:tr>
      <w:tr w:rsidR="007549E0" w14:paraId="086EF508" w14:textId="77777777" w:rsidTr="00E9471B">
        <w:tc>
          <w:tcPr>
            <w:tcW w:w="851" w:type="dxa"/>
            <w:shd w:val="clear" w:color="auto" w:fill="auto"/>
          </w:tcPr>
          <w:p w14:paraId="66D80320" w14:textId="77777777" w:rsidR="002F663C" w:rsidRPr="00711F9C" w:rsidRDefault="007718C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7FCCDC7" w14:textId="77777777" w:rsidR="002F663C" w:rsidRPr="002F663C" w:rsidRDefault="007718C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5 April 2024</w:t>
            </w:r>
            <w:bookmarkEnd w:id="12"/>
          </w:p>
        </w:tc>
      </w:tr>
      <w:tr w:rsidR="007549E0" w14:paraId="1D341A11" w14:textId="77777777" w:rsidTr="00E9471B">
        <w:tc>
          <w:tcPr>
            <w:tcW w:w="851" w:type="dxa"/>
            <w:shd w:val="clear" w:color="auto" w:fill="auto"/>
          </w:tcPr>
          <w:p w14:paraId="23BAEE0D" w14:textId="77777777" w:rsidR="002F663C" w:rsidRPr="00711F9C" w:rsidRDefault="007718C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54B40C3" w14:textId="77777777" w:rsidR="002F663C" w:rsidRPr="002F663C" w:rsidRDefault="007718CA"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3006317" w14:textId="77777777" w:rsidR="002F663C" w:rsidRPr="002F663C" w:rsidRDefault="007718CA" w:rsidP="00EB7B40">
            <w:pPr>
              <w:spacing w:before="120" w:after="120"/>
              <w:rPr>
                <w:rFonts w:eastAsia="Calibri" w:cs="Times New Roman"/>
              </w:rPr>
            </w:pPr>
            <w:r w:rsidRPr="002F663C">
              <w:rPr>
                <w:rFonts w:eastAsia="Calibri" w:cs="Times New Roman"/>
              </w:rPr>
              <w:t>89 Federal Register (FR) 24090; Title 40 Code of Federal Regulations (CFR) Part 60 and Part 63:</w:t>
            </w:r>
          </w:p>
          <w:p w14:paraId="00E63291" w14:textId="77777777" w:rsidR="002F663C" w:rsidRPr="002F663C" w:rsidRDefault="004350A3" w:rsidP="00EB7B40">
            <w:pPr>
              <w:spacing w:before="120" w:after="120"/>
              <w:rPr>
                <w:rFonts w:eastAsia="Calibri" w:cs="Times New Roman"/>
              </w:rPr>
            </w:pPr>
            <w:hyperlink r:id="rId9" w:tgtFrame="_blank" w:history="1">
              <w:r w:rsidR="007718CA" w:rsidRPr="002F663C">
                <w:rPr>
                  <w:rFonts w:eastAsia="Calibri" w:cs="Times New Roman"/>
                  <w:color w:val="0000FF"/>
                  <w:u w:val="single"/>
                </w:rPr>
                <w:t>https://www.govinfo.gov/content/pkg/FR-2024-04-05/html/2024-05905.htm</w:t>
              </w:r>
            </w:hyperlink>
          </w:p>
          <w:p w14:paraId="1A2E838D" w14:textId="77777777" w:rsidR="002F663C" w:rsidRPr="002F663C" w:rsidRDefault="004350A3" w:rsidP="00EB7B40">
            <w:pPr>
              <w:spacing w:before="120" w:after="120"/>
              <w:rPr>
                <w:rFonts w:eastAsia="Calibri" w:cs="Times New Roman"/>
              </w:rPr>
            </w:pPr>
            <w:hyperlink r:id="rId10" w:tgtFrame="_blank" w:history="1">
              <w:r w:rsidR="007718CA" w:rsidRPr="002F663C">
                <w:rPr>
                  <w:rFonts w:eastAsia="Calibri" w:cs="Times New Roman"/>
                  <w:color w:val="0000FF"/>
                  <w:u w:val="single"/>
                </w:rPr>
                <w:t>https://www.govinfo.gov/content/pkg/FR-2024-04-05/pdf/2024-05905.pdf</w:t>
              </w:r>
            </w:hyperlink>
          </w:p>
          <w:p w14:paraId="05796569" w14:textId="77777777" w:rsidR="002F663C" w:rsidRPr="002F663C" w:rsidRDefault="004350A3" w:rsidP="00EB7B40">
            <w:pPr>
              <w:spacing w:before="120" w:after="120"/>
              <w:rPr>
                <w:rFonts w:eastAsia="Calibri" w:cs="Times New Roman"/>
              </w:rPr>
            </w:pPr>
            <w:hyperlink r:id="rId11" w:tgtFrame="_blank" w:history="1">
              <w:r w:rsidR="007718CA" w:rsidRPr="002F663C">
                <w:rPr>
                  <w:rFonts w:eastAsia="Calibri" w:cs="Times New Roman"/>
                  <w:color w:val="0000FF"/>
                  <w:u w:val="single"/>
                </w:rPr>
                <w:t>https://members.wto.org/crnattachments/2024/TBT/USA/final_measure/24_02484_00_e.pdf</w:t>
              </w:r>
            </w:hyperlink>
            <w:bookmarkEnd w:id="15"/>
          </w:p>
        </w:tc>
      </w:tr>
      <w:tr w:rsidR="007549E0" w14:paraId="786ABCA7" w14:textId="77777777" w:rsidTr="00E9471B">
        <w:tc>
          <w:tcPr>
            <w:tcW w:w="851" w:type="dxa"/>
            <w:shd w:val="clear" w:color="auto" w:fill="auto"/>
          </w:tcPr>
          <w:p w14:paraId="72D8C0BF" w14:textId="77777777" w:rsidR="002F663C" w:rsidRPr="00711F9C" w:rsidRDefault="007718C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0675B49" w14:textId="77777777" w:rsidR="002F663C" w:rsidRPr="002F663C" w:rsidRDefault="007718C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825AD01" w14:textId="77777777" w:rsidR="002F663C" w:rsidRPr="002F663C" w:rsidRDefault="007718C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7549E0" w14:paraId="240DB3EB" w14:textId="77777777" w:rsidTr="00E9471B">
        <w:tc>
          <w:tcPr>
            <w:tcW w:w="851" w:type="dxa"/>
            <w:shd w:val="clear" w:color="auto" w:fill="auto"/>
          </w:tcPr>
          <w:p w14:paraId="31D45134" w14:textId="77777777" w:rsidR="002F663C" w:rsidRPr="00711F9C" w:rsidRDefault="007718C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93C1195" w14:textId="77777777" w:rsidR="002F663C" w:rsidRPr="002F663C" w:rsidRDefault="007718C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07B44DD" w14:textId="77777777" w:rsidR="002F663C" w:rsidRPr="002F663C" w:rsidRDefault="007718C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7549E0" w14:paraId="6E4B2D4F" w14:textId="77777777" w:rsidTr="00E9471B">
        <w:tc>
          <w:tcPr>
            <w:tcW w:w="851" w:type="dxa"/>
            <w:shd w:val="clear" w:color="auto" w:fill="auto"/>
          </w:tcPr>
          <w:p w14:paraId="3CBC0BD9" w14:textId="77777777" w:rsidR="002F663C" w:rsidRPr="00711F9C" w:rsidRDefault="007718C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51F56A1" w14:textId="77777777" w:rsidR="002F663C" w:rsidRPr="002F663C" w:rsidRDefault="007718C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7549E0" w14:paraId="3A13C74E" w14:textId="77777777" w:rsidTr="00E9471B">
        <w:tc>
          <w:tcPr>
            <w:tcW w:w="851" w:type="dxa"/>
            <w:tcBorders>
              <w:bottom w:val="double" w:sz="4" w:space="0" w:color="auto"/>
            </w:tcBorders>
            <w:shd w:val="clear" w:color="auto" w:fill="auto"/>
          </w:tcPr>
          <w:p w14:paraId="55163333" w14:textId="77777777" w:rsidR="002F663C" w:rsidRPr="00711F9C" w:rsidRDefault="007718C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FB6FCF9" w14:textId="77777777" w:rsidR="002F663C" w:rsidRPr="002F663C" w:rsidRDefault="007718C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3D1D5ED" w14:textId="77777777" w:rsidR="002F663C" w:rsidRPr="002F663C" w:rsidRDefault="002F663C" w:rsidP="002F663C">
      <w:pPr>
        <w:jc w:val="left"/>
        <w:rPr>
          <w:rFonts w:eastAsia="Calibri" w:cs="Times New Roman"/>
          <w:highlight w:val="yellow"/>
        </w:rPr>
      </w:pPr>
    </w:p>
    <w:p w14:paraId="4408AFBA" w14:textId="77777777" w:rsidR="003971FF" w:rsidRPr="007F6EA2" w:rsidRDefault="007718C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Final rule from the Environmental Protection Agency (EPA) - This action finalizes the </w:t>
      </w:r>
      <w:hyperlink r:id="rId12" w:history="1">
        <w:r w:rsidRPr="002F663C">
          <w:rPr>
            <w:rFonts w:eastAsia="Calibri" w:cs="Times New Roman"/>
            <w:color w:val="0000FF"/>
            <w:szCs w:val="18"/>
            <w:u w:val="single"/>
          </w:rPr>
          <w:t>residual risk and technology review</w:t>
        </w:r>
      </w:hyperlink>
      <w:r w:rsidRPr="002F663C">
        <w:rPr>
          <w:rFonts w:eastAsia="Calibri" w:cs="Times New Roman"/>
          <w:szCs w:val="18"/>
        </w:rPr>
        <w:t xml:space="preserve"> (RTR) conducted for the </w:t>
      </w:r>
      <w:hyperlink r:id="rId13" w:history="1">
        <w:r w:rsidRPr="002F663C">
          <w:rPr>
            <w:rFonts w:eastAsia="Calibri" w:cs="Times New Roman"/>
            <w:color w:val="0000FF"/>
            <w:szCs w:val="18"/>
            <w:u w:val="single"/>
          </w:rPr>
          <w:t>Commercial Sterilization Facilities</w:t>
        </w:r>
      </w:hyperlink>
      <w:r w:rsidRPr="002F663C">
        <w:rPr>
          <w:rFonts w:eastAsia="Calibri" w:cs="Times New Roman"/>
          <w:szCs w:val="18"/>
        </w:rPr>
        <w:t xml:space="preserve"> source category regulated under national emission standards for hazardous air pollutants (NESHAP) under the Clean Air Act. The EPA is finalizing decisions concerning the RTR, including definitions for affected sources, emission standards for previously unregulated sources, amendments pursuant to the risk review to address ethylene oxide (EtO) emissions from certain sterilization chamber vents (SCVs), aeration room vents (ARVs), chamber exhaust vents (CEVs), and room air emissions, and </w:t>
      </w:r>
      <w:r w:rsidRPr="002F663C">
        <w:rPr>
          <w:rFonts w:eastAsia="Calibri" w:cs="Times New Roman"/>
          <w:szCs w:val="18"/>
        </w:rPr>
        <w:lastRenderedPageBreak/>
        <w:t>amendments pursuant to the technology review for certain SCVs and ARVs. In addition, we are taking final action to correct and clarify regulatory provisions related to emissions during periods of startup, shutdown, and malfunction (SSM), including removing exemptions for periods of SSM. We are also taking final action to require owners and operators to demonstrate compliance through the use of EtO continuous emissions monitoring systems (CEMS), with exceptions for very small users of EtO; add provisions for electronic reporting of performance test results and other reports; and include other technical revisions to improve consistency and clarity. We estimate that these final amendments will reduce EtO emissions from this source category by approximately 21 tons per year (tpy).</w:t>
      </w:r>
    </w:p>
    <w:p w14:paraId="1C4A491D" w14:textId="77777777" w:rsidR="000D6F9B" w:rsidRPr="002F663C" w:rsidRDefault="007718CA" w:rsidP="00B16ACF">
      <w:pPr>
        <w:spacing w:before="120" w:after="120"/>
        <w:rPr>
          <w:rFonts w:eastAsia="Calibri" w:cs="Times New Roman"/>
          <w:szCs w:val="18"/>
        </w:rPr>
      </w:pPr>
      <w:r w:rsidRPr="002F663C">
        <w:rPr>
          <w:rFonts w:eastAsia="Calibri" w:cs="Times New Roman"/>
          <w:szCs w:val="18"/>
        </w:rPr>
        <w:t xml:space="preserve">This action is identified by Docket Number EPA-HQ-OAR-2019-0178. The Docket Folder is available on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at </w:t>
      </w:r>
      <w:hyperlink r:id="rId15" w:history="1">
        <w:r w:rsidRPr="002F663C">
          <w:rPr>
            <w:rFonts w:eastAsia="Calibri" w:cs="Times New Roman"/>
            <w:color w:val="0000FF"/>
            <w:szCs w:val="18"/>
            <w:u w:val="single"/>
          </w:rPr>
          <w:t>https://www.regulations.gov/docket/EPA-HQ-OAR-2019-0178/document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68E3AF81" w14:textId="77777777" w:rsidR="000D6F9B" w:rsidRPr="002F663C" w:rsidRDefault="007718CA" w:rsidP="00B16ACF">
      <w:pPr>
        <w:spacing w:before="120" w:after="120"/>
        <w:rPr>
          <w:rFonts w:eastAsia="Calibri" w:cs="Times New Roman"/>
          <w:szCs w:val="18"/>
        </w:rPr>
      </w:pPr>
      <w:r w:rsidRPr="002F663C">
        <w:rPr>
          <w:rFonts w:eastAsia="Calibri" w:cs="Times New Roman"/>
          <w:szCs w:val="18"/>
        </w:rPr>
        <w:t xml:space="preserve">See also </w:t>
      </w:r>
      <w:hyperlink r:id="rId17" w:history="1">
        <w:r w:rsidRPr="002F663C">
          <w:rPr>
            <w:rFonts w:eastAsia="Calibri" w:cs="Times New Roman"/>
            <w:color w:val="0000FF"/>
            <w:szCs w:val="18"/>
            <w:u w:val="single"/>
          </w:rPr>
          <w:t>40 CFR 60</w:t>
        </w:r>
      </w:hyperlink>
      <w:r w:rsidRPr="002F663C">
        <w:rPr>
          <w:rFonts w:eastAsia="Calibri" w:cs="Times New Roman"/>
          <w:szCs w:val="18"/>
        </w:rPr>
        <w:t xml:space="preserve"> and </w:t>
      </w:r>
      <w:hyperlink r:id="rId18" w:history="1">
        <w:r w:rsidRPr="002F663C">
          <w:rPr>
            <w:rFonts w:eastAsia="Calibri" w:cs="Times New Roman"/>
            <w:color w:val="0000FF"/>
            <w:szCs w:val="18"/>
            <w:u w:val="single"/>
          </w:rPr>
          <w:t>40 CFR 63</w:t>
        </w:r>
      </w:hyperlink>
      <w:r w:rsidRPr="002F663C">
        <w:rPr>
          <w:rFonts w:eastAsia="Calibri" w:cs="Times New Roman"/>
          <w:szCs w:val="18"/>
        </w:rPr>
        <w:t>.</w:t>
      </w:r>
      <w:bookmarkEnd w:id="26"/>
    </w:p>
    <w:p w14:paraId="01D0DD21" w14:textId="77777777" w:rsidR="006C5A96" w:rsidRDefault="007718CA" w:rsidP="006C5A96">
      <w:pPr>
        <w:jc w:val="center"/>
        <w:rPr>
          <w:b/>
        </w:rPr>
      </w:pPr>
      <w:r w:rsidRPr="003971FF">
        <w:rPr>
          <w:b/>
        </w:rPr>
        <w:t>__________</w:t>
      </w:r>
    </w:p>
    <w:p w14:paraId="44BFF8BB" w14:textId="77777777" w:rsidR="004D4D19" w:rsidRDefault="004D4D19" w:rsidP="007F38C2">
      <w:pPr>
        <w:jc w:val="center"/>
        <w:rPr>
          <w:b/>
        </w:rPr>
      </w:pPr>
    </w:p>
    <w:p w14:paraId="13B5EB31"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FCBB" w14:textId="77777777" w:rsidR="007718CA" w:rsidRDefault="007718CA">
      <w:r>
        <w:separator/>
      </w:r>
    </w:p>
  </w:endnote>
  <w:endnote w:type="continuationSeparator" w:id="0">
    <w:p w14:paraId="7615439A" w14:textId="77777777" w:rsidR="007718CA" w:rsidRDefault="0077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B6D" w14:textId="77777777" w:rsidR="00544326" w:rsidRPr="00DD3DD7" w:rsidRDefault="007718C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7F8C" w14:textId="77777777" w:rsidR="00544326" w:rsidRPr="00DD3DD7" w:rsidRDefault="007718CA"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1D8A" w14:textId="393644D1" w:rsidR="0067782B" w:rsidRDefault="0067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4001" w14:textId="77777777" w:rsidR="000248E6" w:rsidRDefault="007718CA" w:rsidP="00ED54E0">
      <w:r>
        <w:separator/>
      </w:r>
    </w:p>
  </w:footnote>
  <w:footnote w:type="continuationSeparator" w:id="0">
    <w:p w14:paraId="754B199A" w14:textId="77777777" w:rsidR="000248E6" w:rsidRDefault="007718CA" w:rsidP="00ED54E0">
      <w:r>
        <w:continuationSeparator/>
      </w:r>
    </w:p>
  </w:footnote>
  <w:footnote w:id="1">
    <w:p w14:paraId="71A91A7F" w14:textId="77777777" w:rsidR="007F6EA2" w:rsidRDefault="007718C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932E" w14:textId="77777777" w:rsidR="00DD3DD7" w:rsidRDefault="007718C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ABC14B1" w14:textId="77777777" w:rsidR="004D4D19" w:rsidRPr="00DD3DD7" w:rsidRDefault="004D4D19" w:rsidP="00DD3DD7">
    <w:pPr>
      <w:pStyle w:val="Header"/>
      <w:pBdr>
        <w:bottom w:val="single" w:sz="4" w:space="1" w:color="auto"/>
      </w:pBdr>
      <w:tabs>
        <w:tab w:val="clear" w:pos="4513"/>
        <w:tab w:val="clear" w:pos="9027"/>
      </w:tabs>
      <w:jc w:val="center"/>
    </w:pPr>
  </w:p>
  <w:p w14:paraId="5C72A0FE" w14:textId="77777777" w:rsidR="00DD3DD7" w:rsidRPr="00DD3DD7" w:rsidRDefault="007718C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497102F" w14:textId="2E8564F5"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67CA" w14:textId="77777777" w:rsidR="00DD3DD7" w:rsidRPr="0067782B" w:rsidRDefault="007718CA" w:rsidP="00DD3DD7">
    <w:pPr>
      <w:pStyle w:val="Header"/>
      <w:pBdr>
        <w:bottom w:val="single" w:sz="4" w:space="1" w:color="auto"/>
      </w:pBdr>
      <w:tabs>
        <w:tab w:val="clear" w:pos="4513"/>
        <w:tab w:val="clear" w:pos="9027"/>
      </w:tabs>
      <w:jc w:val="center"/>
      <w:rPr>
        <w:lang w:val="es-ES"/>
      </w:rPr>
    </w:pPr>
    <w:bookmarkStart w:id="28" w:name="spsSymbolHeader"/>
    <w:r w:rsidRPr="0067782B">
      <w:rPr>
        <w:lang w:val="es-ES"/>
      </w:rPr>
      <w:t>G/TBT/N/USA/1554/Add.2</w:t>
    </w:r>
    <w:bookmarkEnd w:id="28"/>
  </w:p>
  <w:p w14:paraId="1A137698" w14:textId="77777777" w:rsidR="00DD3DD7" w:rsidRPr="0067782B" w:rsidRDefault="00DD3DD7" w:rsidP="00DD3DD7">
    <w:pPr>
      <w:pStyle w:val="Header"/>
      <w:pBdr>
        <w:bottom w:val="single" w:sz="4" w:space="1" w:color="auto"/>
      </w:pBdr>
      <w:tabs>
        <w:tab w:val="clear" w:pos="4513"/>
        <w:tab w:val="clear" w:pos="9027"/>
      </w:tabs>
      <w:jc w:val="center"/>
      <w:rPr>
        <w:lang w:val="es-ES"/>
      </w:rPr>
    </w:pPr>
  </w:p>
  <w:p w14:paraId="77B96042" w14:textId="77777777" w:rsidR="00DD3DD7" w:rsidRPr="00DD3DD7" w:rsidRDefault="007718C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DAEC947" w14:textId="71FAD100"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49E0" w14:paraId="183B6C46" w14:textId="77777777" w:rsidTr="00544326">
      <w:trPr>
        <w:trHeight w:val="240"/>
        <w:jc w:val="center"/>
      </w:trPr>
      <w:tc>
        <w:tcPr>
          <w:tcW w:w="3794" w:type="dxa"/>
          <w:shd w:val="clear" w:color="auto" w:fill="FFFFFF"/>
          <w:tcMar>
            <w:left w:w="108" w:type="dxa"/>
            <w:right w:w="108" w:type="dxa"/>
          </w:tcMar>
          <w:vAlign w:val="center"/>
        </w:tcPr>
        <w:p w14:paraId="1F18DE2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80F2642" w14:textId="77777777" w:rsidR="00ED54E0" w:rsidRPr="00182B84" w:rsidRDefault="007718CA" w:rsidP="00425DC5">
          <w:pPr>
            <w:jc w:val="right"/>
            <w:rPr>
              <w:b/>
              <w:color w:val="FF0000"/>
              <w:szCs w:val="16"/>
            </w:rPr>
          </w:pPr>
          <w:r>
            <w:rPr>
              <w:b/>
              <w:color w:val="FF0000"/>
              <w:szCs w:val="16"/>
            </w:rPr>
            <w:t xml:space="preserve"> </w:t>
          </w:r>
        </w:p>
      </w:tc>
    </w:tr>
    <w:tr w:rsidR="007549E0" w14:paraId="71555951" w14:textId="77777777" w:rsidTr="00544326">
      <w:trPr>
        <w:trHeight w:val="213"/>
        <w:jc w:val="center"/>
      </w:trPr>
      <w:tc>
        <w:tcPr>
          <w:tcW w:w="3794" w:type="dxa"/>
          <w:vMerge w:val="restart"/>
          <w:shd w:val="clear" w:color="auto" w:fill="FFFFFF"/>
          <w:tcMar>
            <w:left w:w="0" w:type="dxa"/>
            <w:right w:w="0" w:type="dxa"/>
          </w:tcMar>
        </w:tcPr>
        <w:p w14:paraId="3AB5790B" w14:textId="77777777" w:rsidR="00ED54E0" w:rsidRPr="00182B84" w:rsidRDefault="007718CA" w:rsidP="00425DC5">
          <w:pPr>
            <w:jc w:val="left"/>
          </w:pPr>
          <w:r w:rsidRPr="00182B84">
            <w:rPr>
              <w:noProof/>
              <w:lang w:val="en-US"/>
            </w:rPr>
            <w:drawing>
              <wp:inline distT="0" distB="0" distL="0" distR="0" wp14:anchorId="5029F73E" wp14:editId="74FEE52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881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F17D00" w14:textId="77777777" w:rsidR="00ED54E0" w:rsidRPr="00182B84" w:rsidRDefault="00ED54E0" w:rsidP="00425DC5">
          <w:pPr>
            <w:jc w:val="right"/>
            <w:rPr>
              <w:b/>
              <w:szCs w:val="16"/>
            </w:rPr>
          </w:pPr>
        </w:p>
      </w:tc>
    </w:tr>
    <w:tr w:rsidR="007549E0" w:rsidRPr="004350A3" w14:paraId="04407794" w14:textId="77777777" w:rsidTr="00544326">
      <w:trPr>
        <w:trHeight w:val="868"/>
        <w:jc w:val="center"/>
      </w:trPr>
      <w:tc>
        <w:tcPr>
          <w:tcW w:w="3794" w:type="dxa"/>
          <w:vMerge/>
          <w:shd w:val="clear" w:color="auto" w:fill="FFFFFF"/>
          <w:tcMar>
            <w:left w:w="108" w:type="dxa"/>
            <w:right w:w="108" w:type="dxa"/>
          </w:tcMar>
        </w:tcPr>
        <w:p w14:paraId="72505CF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00BDA09" w14:textId="77777777" w:rsidR="00DD3DD7" w:rsidRPr="0067782B" w:rsidRDefault="007718CA" w:rsidP="00DD3DD7">
          <w:pPr>
            <w:jc w:val="right"/>
            <w:rPr>
              <w:rFonts w:eastAsia="Calibri" w:cs="Times New Roman"/>
              <w:b/>
              <w:szCs w:val="16"/>
              <w:lang w:val="es-ES"/>
            </w:rPr>
          </w:pPr>
          <w:bookmarkStart w:id="29" w:name="bmkSymbols"/>
          <w:r w:rsidRPr="0067782B">
            <w:rPr>
              <w:rFonts w:eastAsia="Calibri" w:cs="Times New Roman"/>
              <w:b/>
              <w:szCs w:val="16"/>
              <w:lang w:val="es-ES"/>
            </w:rPr>
            <w:t>G/TBT/N/USA/1554/Add.2</w:t>
          </w:r>
          <w:bookmarkEnd w:id="29"/>
        </w:p>
        <w:p w14:paraId="31B83E72" w14:textId="77777777" w:rsidR="00C14444" w:rsidRPr="0067782B" w:rsidRDefault="00C14444" w:rsidP="00C14444">
          <w:pPr>
            <w:jc w:val="center"/>
            <w:rPr>
              <w:szCs w:val="16"/>
              <w:lang w:val="es-ES"/>
            </w:rPr>
          </w:pPr>
        </w:p>
      </w:tc>
    </w:tr>
    <w:tr w:rsidR="007549E0" w:rsidRPr="0067782B" w14:paraId="5DDB0427" w14:textId="77777777" w:rsidTr="00544326">
      <w:trPr>
        <w:trHeight w:val="240"/>
        <w:jc w:val="center"/>
      </w:trPr>
      <w:tc>
        <w:tcPr>
          <w:tcW w:w="3794" w:type="dxa"/>
          <w:vMerge/>
          <w:shd w:val="clear" w:color="auto" w:fill="FFFFFF"/>
          <w:tcMar>
            <w:left w:w="108" w:type="dxa"/>
            <w:right w:w="108" w:type="dxa"/>
          </w:tcMar>
          <w:vAlign w:val="center"/>
        </w:tcPr>
        <w:p w14:paraId="38382C47" w14:textId="77777777" w:rsidR="00ED54E0" w:rsidRPr="0067782B" w:rsidRDefault="00ED54E0" w:rsidP="00425DC5">
          <w:pPr>
            <w:rPr>
              <w:lang w:val="es-ES"/>
            </w:rPr>
          </w:pPr>
        </w:p>
      </w:tc>
      <w:tc>
        <w:tcPr>
          <w:tcW w:w="5448" w:type="dxa"/>
          <w:gridSpan w:val="2"/>
          <w:shd w:val="clear" w:color="auto" w:fill="FFFFFF"/>
          <w:tcMar>
            <w:left w:w="108" w:type="dxa"/>
            <w:right w:w="108" w:type="dxa"/>
          </w:tcMar>
          <w:vAlign w:val="center"/>
        </w:tcPr>
        <w:p w14:paraId="5E076C85" w14:textId="7EFCEA42" w:rsidR="00ED54E0" w:rsidRPr="0067782B" w:rsidRDefault="0067782B" w:rsidP="00425DC5">
          <w:pPr>
            <w:jc w:val="right"/>
            <w:rPr>
              <w:szCs w:val="16"/>
              <w:lang w:val="es-ES"/>
            </w:rPr>
          </w:pPr>
          <w:bookmarkStart w:id="30" w:name="bmkDate"/>
          <w:bookmarkEnd w:id="30"/>
          <w:r>
            <w:rPr>
              <w:szCs w:val="16"/>
              <w:lang w:val="es-ES"/>
            </w:rPr>
            <w:t>8 April 2024</w:t>
          </w:r>
        </w:p>
      </w:tc>
    </w:tr>
    <w:tr w:rsidR="007549E0" w14:paraId="13AB906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3B4434" w14:textId="1465EA02" w:rsidR="00ED54E0" w:rsidRPr="00182B84" w:rsidRDefault="007718CA" w:rsidP="00425DC5">
          <w:pPr>
            <w:jc w:val="left"/>
            <w:rPr>
              <w:b/>
            </w:rPr>
          </w:pPr>
          <w:r w:rsidRPr="002F663C">
            <w:rPr>
              <w:rFonts w:eastAsia="Calibri" w:cs="Times New Roman"/>
              <w:color w:val="FF0000"/>
              <w:szCs w:val="16"/>
            </w:rPr>
            <w:t>(</w:t>
          </w:r>
          <w:bookmarkStart w:id="31" w:name="bmkSerial"/>
          <w:bookmarkEnd w:id="31"/>
          <w:r w:rsidR="0067782B">
            <w:rPr>
              <w:rFonts w:eastAsia="Calibri" w:cs="Times New Roman"/>
              <w:color w:val="FF0000"/>
              <w:szCs w:val="16"/>
            </w:rPr>
            <w:t>24-</w:t>
          </w:r>
          <w:r w:rsidR="004350A3">
            <w:rPr>
              <w:rFonts w:eastAsia="Calibri" w:cs="Times New Roman"/>
              <w:color w:val="FF0000"/>
              <w:szCs w:val="16"/>
            </w:rPr>
            <w:t>2950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AB45848" w14:textId="77777777" w:rsidR="00ED54E0" w:rsidRPr="00182B84" w:rsidRDefault="007718C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549E0" w14:paraId="525EF02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CECB5B" w14:textId="77777777" w:rsidR="00ED54E0" w:rsidRPr="00182B84" w:rsidRDefault="007718C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35C2E0A" w14:textId="77777777" w:rsidR="00ED54E0" w:rsidRPr="00182B84" w:rsidRDefault="007718C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F2FDCB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A46BFA">
      <w:start w:val="1"/>
      <w:numFmt w:val="decimal"/>
      <w:pStyle w:val="SummaryText"/>
      <w:lvlText w:val="%1."/>
      <w:lvlJc w:val="left"/>
      <w:pPr>
        <w:ind w:left="360" w:hanging="360"/>
      </w:pPr>
    </w:lvl>
    <w:lvl w:ilvl="1" w:tplc="BADE6352" w:tentative="1">
      <w:start w:val="1"/>
      <w:numFmt w:val="lowerLetter"/>
      <w:lvlText w:val="%2."/>
      <w:lvlJc w:val="left"/>
      <w:pPr>
        <w:ind w:left="1080" w:hanging="360"/>
      </w:pPr>
    </w:lvl>
    <w:lvl w:ilvl="2" w:tplc="A97C7104" w:tentative="1">
      <w:start w:val="1"/>
      <w:numFmt w:val="lowerRoman"/>
      <w:lvlText w:val="%3."/>
      <w:lvlJc w:val="right"/>
      <w:pPr>
        <w:ind w:left="1800" w:hanging="180"/>
      </w:pPr>
    </w:lvl>
    <w:lvl w:ilvl="3" w:tplc="1E5E8432" w:tentative="1">
      <w:start w:val="1"/>
      <w:numFmt w:val="decimal"/>
      <w:lvlText w:val="%4."/>
      <w:lvlJc w:val="left"/>
      <w:pPr>
        <w:ind w:left="2520" w:hanging="360"/>
      </w:pPr>
    </w:lvl>
    <w:lvl w:ilvl="4" w:tplc="F3D02160" w:tentative="1">
      <w:start w:val="1"/>
      <w:numFmt w:val="lowerLetter"/>
      <w:lvlText w:val="%5."/>
      <w:lvlJc w:val="left"/>
      <w:pPr>
        <w:ind w:left="3240" w:hanging="360"/>
      </w:pPr>
    </w:lvl>
    <w:lvl w:ilvl="5" w:tplc="AAE47C34" w:tentative="1">
      <w:start w:val="1"/>
      <w:numFmt w:val="lowerRoman"/>
      <w:lvlText w:val="%6."/>
      <w:lvlJc w:val="right"/>
      <w:pPr>
        <w:ind w:left="3960" w:hanging="180"/>
      </w:pPr>
    </w:lvl>
    <w:lvl w:ilvl="6" w:tplc="3C2E1EA6" w:tentative="1">
      <w:start w:val="1"/>
      <w:numFmt w:val="decimal"/>
      <w:lvlText w:val="%7."/>
      <w:lvlJc w:val="left"/>
      <w:pPr>
        <w:ind w:left="4680" w:hanging="360"/>
      </w:pPr>
    </w:lvl>
    <w:lvl w:ilvl="7" w:tplc="2A0ECC70" w:tentative="1">
      <w:start w:val="1"/>
      <w:numFmt w:val="lowerLetter"/>
      <w:lvlText w:val="%8."/>
      <w:lvlJc w:val="left"/>
      <w:pPr>
        <w:ind w:left="5400" w:hanging="360"/>
      </w:pPr>
    </w:lvl>
    <w:lvl w:ilvl="8" w:tplc="7DB29D6A" w:tentative="1">
      <w:start w:val="1"/>
      <w:numFmt w:val="lowerRoman"/>
      <w:lvlText w:val="%9."/>
      <w:lvlJc w:val="right"/>
      <w:pPr>
        <w:ind w:left="6120" w:hanging="180"/>
      </w:pPr>
    </w:lvl>
  </w:abstractNum>
  <w:num w:numId="1" w16cid:durableId="1701323013">
    <w:abstractNumId w:val="9"/>
  </w:num>
  <w:num w:numId="2" w16cid:durableId="1262298401">
    <w:abstractNumId w:val="7"/>
  </w:num>
  <w:num w:numId="3" w16cid:durableId="1892419880">
    <w:abstractNumId w:val="6"/>
  </w:num>
  <w:num w:numId="4" w16cid:durableId="842550932">
    <w:abstractNumId w:val="5"/>
  </w:num>
  <w:num w:numId="5" w16cid:durableId="926423667">
    <w:abstractNumId w:val="4"/>
  </w:num>
  <w:num w:numId="6" w16cid:durableId="1697005305">
    <w:abstractNumId w:val="12"/>
  </w:num>
  <w:num w:numId="7" w16cid:durableId="1458258529">
    <w:abstractNumId w:val="11"/>
  </w:num>
  <w:num w:numId="8" w16cid:durableId="914319543">
    <w:abstractNumId w:val="10"/>
  </w:num>
  <w:num w:numId="9" w16cid:durableId="20779720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5596">
    <w:abstractNumId w:val="13"/>
  </w:num>
  <w:num w:numId="11" w16cid:durableId="1353141067">
    <w:abstractNumId w:val="8"/>
  </w:num>
  <w:num w:numId="12" w16cid:durableId="30687251">
    <w:abstractNumId w:val="3"/>
  </w:num>
  <w:num w:numId="13" w16cid:durableId="2032761862">
    <w:abstractNumId w:val="2"/>
  </w:num>
  <w:num w:numId="14" w16cid:durableId="1973905112">
    <w:abstractNumId w:val="1"/>
  </w:num>
  <w:num w:numId="15" w16cid:durableId="1566145580">
    <w:abstractNumId w:val="0"/>
  </w:num>
  <w:num w:numId="16" w16cid:durableId="1882396092">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D6F9B"/>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350A3"/>
    <w:rsid w:val="00467032"/>
    <w:rsid w:val="0046754A"/>
    <w:rsid w:val="00467A46"/>
    <w:rsid w:val="00483FC4"/>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7782B"/>
    <w:rsid w:val="006B3175"/>
    <w:rsid w:val="006C5A96"/>
    <w:rsid w:val="006E7D82"/>
    <w:rsid w:val="006F5826"/>
    <w:rsid w:val="00700181"/>
    <w:rsid w:val="00711F9C"/>
    <w:rsid w:val="007141CF"/>
    <w:rsid w:val="0071546B"/>
    <w:rsid w:val="00724E52"/>
    <w:rsid w:val="00745146"/>
    <w:rsid w:val="007549E0"/>
    <w:rsid w:val="007577E3"/>
    <w:rsid w:val="00760003"/>
    <w:rsid w:val="00760DB3"/>
    <w:rsid w:val="007718CA"/>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38A6"/>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4607"/>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1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pa.gov/stationary-sources-air-pollution/ethylene-oxide-emissions-standards-sterilization-facilities" TargetMode="External"/><Relationship Id="rId18" Type="http://schemas.openxmlformats.org/officeDocument/2006/relationships/hyperlink" Target="https://www.ecfr.gov/current/title-40/chapter-I/subchapter-C/part-63?toc=1"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epa.gov/stationary-sources-air-pollution/risk-and-technology-review-national-emissions-standards-hazardous" TargetMode="External"/><Relationship Id="rId17" Type="http://schemas.openxmlformats.org/officeDocument/2006/relationships/hyperlink" Target="https://www.ecfr.gov/current/title-40/chapter-I/subchapter-C/part-60?toc=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gulations.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484_00_e.pdf"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regulations.gov/docket/EPA-HQ-OAR-2019-0178/document" TargetMode="External"/><Relationship Id="rId23" Type="http://schemas.openxmlformats.org/officeDocument/2006/relationships/header" Target="header3.xml"/><Relationship Id="rId10" Type="http://schemas.openxmlformats.org/officeDocument/2006/relationships/hyperlink" Target="https://www.govinfo.gov/content/pkg/FR-2024-04-05/pdf/2024-05905.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info.gov/content/pkg/FR-2024-04-05/html/2024-05905.htm" TargetMode="External"/><Relationship Id="rId14" Type="http://schemas.openxmlformats.org/officeDocument/2006/relationships/hyperlink" Target="https://www.regulations.gov/"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21F43-E925-4A79-895D-3839661EC07E}">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2024-04-08T09:06:00Z</dcterms:created>
  <dcterms:modified xsi:type="dcterms:W3CDTF">2024-04-08T09:18:00Z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