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88AC" w14:textId="77777777" w:rsidR="002D78C9" w:rsidRDefault="004671C2" w:rsidP="00DD3DD7">
      <w:pPr>
        <w:pStyle w:val="Title"/>
      </w:pPr>
      <w:r w:rsidRPr="002F663C">
        <w:t>NOTIFICATION</w:t>
      </w:r>
    </w:p>
    <w:p w14:paraId="2885DA05" w14:textId="77777777" w:rsidR="002F663C" w:rsidRPr="002F663C" w:rsidRDefault="004671C2" w:rsidP="00DD3DD7">
      <w:pPr>
        <w:pStyle w:val="Title3"/>
      </w:pPr>
      <w:r w:rsidRPr="002F663C">
        <w:t>Addendum</w:t>
      </w:r>
    </w:p>
    <w:p w14:paraId="3209B9C0" w14:textId="77777777" w:rsidR="002F663C" w:rsidRDefault="004671C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26 August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3A27BC9D" w14:textId="77777777" w:rsidR="001E2E4A" w:rsidRPr="002F663C" w:rsidRDefault="001E2E4A" w:rsidP="001E2E4A">
      <w:pPr>
        <w:rPr>
          <w:rFonts w:eastAsia="Calibri" w:cs="Times New Roman"/>
        </w:rPr>
      </w:pPr>
    </w:p>
    <w:p w14:paraId="217B9FEA" w14:textId="77777777" w:rsidR="002F663C" w:rsidRPr="002F663C" w:rsidRDefault="004671C2" w:rsidP="002F663C">
      <w:pPr>
        <w:jc w:val="center"/>
        <w:rPr>
          <w:rFonts w:eastAsia="Calibri" w:cs="Times New Roman"/>
          <w:b/>
        </w:rPr>
      </w:pPr>
      <w:r w:rsidRPr="002F663C">
        <w:rPr>
          <w:rFonts w:eastAsia="Calibri" w:cs="Times New Roman"/>
          <w:b/>
        </w:rPr>
        <w:t>_______________</w:t>
      </w:r>
    </w:p>
    <w:p w14:paraId="1EB2956C" w14:textId="77777777" w:rsidR="002F663C" w:rsidRDefault="002F663C" w:rsidP="002F663C">
      <w:pPr>
        <w:rPr>
          <w:rFonts w:eastAsia="Calibri" w:cs="Times New Roman"/>
        </w:rPr>
      </w:pPr>
    </w:p>
    <w:p w14:paraId="441B19AA" w14:textId="77777777" w:rsidR="00C14444" w:rsidRPr="002F663C" w:rsidRDefault="00C14444" w:rsidP="002F663C">
      <w:pPr>
        <w:rPr>
          <w:rFonts w:eastAsia="Calibri" w:cs="Times New Roman"/>
        </w:rPr>
      </w:pPr>
    </w:p>
    <w:p w14:paraId="5EB468E5" w14:textId="77777777" w:rsidR="002F663C" w:rsidRPr="002F663C" w:rsidRDefault="004671C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2025 Building Energy Efficiency Standards</w:t>
      </w:r>
    </w:p>
    <w:p w14:paraId="4A2906B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E60B2" w14:paraId="10B70F6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2F44991" w14:textId="77777777" w:rsidR="002F663C" w:rsidRPr="002F663C" w:rsidRDefault="004671C2"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6E60B2" w14:paraId="303D8FCE" w14:textId="77777777" w:rsidTr="00E9471B">
        <w:tc>
          <w:tcPr>
            <w:tcW w:w="851" w:type="dxa"/>
            <w:shd w:val="clear" w:color="auto" w:fill="auto"/>
          </w:tcPr>
          <w:p w14:paraId="59D6A015" w14:textId="77777777" w:rsidR="002F663C" w:rsidRPr="00711F9C" w:rsidRDefault="004671C2"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9C83247" w14:textId="77777777" w:rsidR="002F663C" w:rsidRPr="002F663C" w:rsidRDefault="004671C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6E60B2" w14:paraId="1C127149" w14:textId="77777777" w:rsidTr="00E9471B">
        <w:tc>
          <w:tcPr>
            <w:tcW w:w="851" w:type="dxa"/>
            <w:shd w:val="clear" w:color="auto" w:fill="auto"/>
          </w:tcPr>
          <w:p w14:paraId="44C2ACA6" w14:textId="77777777" w:rsidR="002F663C" w:rsidRPr="00711F9C" w:rsidRDefault="004671C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B663BD6" w14:textId="77777777" w:rsidR="002F663C" w:rsidRPr="002F663C" w:rsidRDefault="004671C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6E60B2" w14:paraId="21FC29BB" w14:textId="77777777" w:rsidTr="00E9471B">
        <w:tc>
          <w:tcPr>
            <w:tcW w:w="851" w:type="dxa"/>
            <w:shd w:val="clear" w:color="auto" w:fill="auto"/>
          </w:tcPr>
          <w:p w14:paraId="0A90D0C5" w14:textId="77777777" w:rsidR="002F663C" w:rsidRPr="00711F9C" w:rsidRDefault="004671C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0A5C179" w14:textId="77777777" w:rsidR="002F663C" w:rsidRPr="002F663C" w:rsidRDefault="004671C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6E60B2" w14:paraId="4B424F4D" w14:textId="77777777" w:rsidTr="00E9471B">
        <w:tc>
          <w:tcPr>
            <w:tcW w:w="851" w:type="dxa"/>
            <w:shd w:val="clear" w:color="auto" w:fill="auto"/>
          </w:tcPr>
          <w:p w14:paraId="61D9BEA0" w14:textId="77777777" w:rsidR="002F663C" w:rsidRPr="00711F9C" w:rsidRDefault="004671C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972FC34" w14:textId="77777777" w:rsidR="002F663C" w:rsidRPr="002F663C" w:rsidRDefault="004671C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6E60B2" w14:paraId="229183E0" w14:textId="77777777" w:rsidTr="00E9471B">
        <w:tc>
          <w:tcPr>
            <w:tcW w:w="851" w:type="dxa"/>
            <w:shd w:val="clear" w:color="auto" w:fill="auto"/>
          </w:tcPr>
          <w:p w14:paraId="49E912EA" w14:textId="77777777" w:rsidR="002F663C" w:rsidRPr="00711F9C" w:rsidRDefault="004671C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D8781F6" w14:textId="77777777" w:rsidR="002F663C" w:rsidRPr="002F663C" w:rsidRDefault="004671C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6E60B2" w14:paraId="5FF83A86" w14:textId="77777777" w:rsidTr="00E9471B">
        <w:tc>
          <w:tcPr>
            <w:tcW w:w="851" w:type="dxa"/>
            <w:shd w:val="clear" w:color="auto" w:fill="auto"/>
          </w:tcPr>
          <w:p w14:paraId="437CE31E" w14:textId="77777777" w:rsidR="002F663C" w:rsidRPr="00711F9C" w:rsidRDefault="004671C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921DF53" w14:textId="77777777" w:rsidR="002F663C" w:rsidRPr="002F663C" w:rsidRDefault="004671C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3813C6F" w14:textId="77777777" w:rsidR="002F663C" w:rsidRPr="002F663C" w:rsidRDefault="004671C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6E60B2" w14:paraId="496E1ED9" w14:textId="77777777" w:rsidTr="00E9471B">
        <w:tc>
          <w:tcPr>
            <w:tcW w:w="851" w:type="dxa"/>
            <w:shd w:val="clear" w:color="auto" w:fill="auto"/>
          </w:tcPr>
          <w:p w14:paraId="50EA1C77" w14:textId="77777777" w:rsidR="002F663C" w:rsidRPr="00711F9C" w:rsidRDefault="004671C2"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052EFC0" w14:textId="77777777" w:rsidR="002F663C" w:rsidRPr="002F663C" w:rsidRDefault="004671C2"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48C46F84" w14:textId="77777777" w:rsidR="00082727" w:rsidRDefault="004671C2" w:rsidP="00C14444">
            <w:pPr>
              <w:spacing w:before="120" w:after="120"/>
              <w:rPr>
                <w:rFonts w:eastAsia="Calibri" w:cs="Times New Roman"/>
              </w:rPr>
            </w:pPr>
            <w:r>
              <w:rPr>
                <w:rFonts w:eastAsia="Calibri" w:cs="Times New Roman"/>
              </w:rPr>
              <w:t>Notice of 15-Day Comment Period (August 2024), 2025 Building Energy Standards and Reference Appendices</w:t>
            </w:r>
          </w:p>
          <w:p w14:paraId="32F701D5" w14:textId="77777777" w:rsidR="00082727" w:rsidRDefault="005B5484" w:rsidP="00C14444">
            <w:pPr>
              <w:spacing w:before="120" w:after="120"/>
              <w:rPr>
                <w:rFonts w:eastAsia="Calibri" w:cs="Times New Roman"/>
              </w:rPr>
            </w:pPr>
            <w:hyperlink r:id="rId9" w:tgtFrame="_blank" w:history="1">
              <w:r w:rsidR="004671C2">
                <w:rPr>
                  <w:rFonts w:eastAsia="Calibri" w:cs="Times New Roman"/>
                  <w:color w:val="0000FF"/>
                  <w:u w:val="single"/>
                </w:rPr>
                <w:t>https://efiling.energy.ca.gov/Lists/DocketLog.aspx?docketnumber=24-BSTD-01</w:t>
              </w:r>
            </w:hyperlink>
          </w:p>
          <w:p w14:paraId="490E0AEA" w14:textId="77777777" w:rsidR="00082727" w:rsidRDefault="005B5484" w:rsidP="00C14444">
            <w:pPr>
              <w:spacing w:before="120" w:after="120"/>
              <w:rPr>
                <w:rFonts w:eastAsia="Calibri" w:cs="Times New Roman"/>
              </w:rPr>
            </w:pPr>
            <w:hyperlink r:id="rId10" w:tgtFrame="_blank" w:history="1">
              <w:r w:rsidR="004671C2">
                <w:rPr>
                  <w:rFonts w:eastAsia="Calibri" w:cs="Times New Roman"/>
                  <w:color w:val="0000FF"/>
                  <w:u w:val="single"/>
                </w:rPr>
                <w:t>https://members.wto.org/crnattachments/2024/TBT/USA/modification/24_05614_00_e.pdf</w:t>
              </w:r>
            </w:hyperlink>
          </w:p>
          <w:p w14:paraId="3AC5983D" w14:textId="77777777" w:rsidR="002F663C" w:rsidRPr="002F663C" w:rsidRDefault="004671C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6 September 2024</w:t>
            </w:r>
          </w:p>
        </w:tc>
      </w:tr>
      <w:tr w:rsidR="006E60B2" w14:paraId="66677AF1" w14:textId="77777777" w:rsidTr="00E9471B">
        <w:tc>
          <w:tcPr>
            <w:tcW w:w="851" w:type="dxa"/>
            <w:shd w:val="clear" w:color="auto" w:fill="auto"/>
          </w:tcPr>
          <w:p w14:paraId="20A237A3" w14:textId="77777777" w:rsidR="002F663C" w:rsidRPr="00711F9C" w:rsidRDefault="004671C2"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A3D22AA" w14:textId="77777777" w:rsidR="002F663C" w:rsidRPr="002F663C" w:rsidRDefault="004671C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6E60B2" w14:paraId="616A5E84" w14:textId="77777777" w:rsidTr="00E9471B">
        <w:tc>
          <w:tcPr>
            <w:tcW w:w="851" w:type="dxa"/>
            <w:tcBorders>
              <w:bottom w:val="double" w:sz="4" w:space="0" w:color="auto"/>
            </w:tcBorders>
            <w:shd w:val="clear" w:color="auto" w:fill="auto"/>
          </w:tcPr>
          <w:p w14:paraId="2AE46FAE" w14:textId="77777777" w:rsidR="002F663C" w:rsidRPr="00711F9C" w:rsidRDefault="004671C2"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189D30EB" w14:textId="77777777" w:rsidR="002F663C" w:rsidRPr="002F663C" w:rsidRDefault="004671C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8B8E22B" w14:textId="77777777" w:rsidR="002F663C" w:rsidRPr="002F663C" w:rsidRDefault="002F663C" w:rsidP="002F663C">
      <w:pPr>
        <w:jc w:val="left"/>
        <w:rPr>
          <w:rFonts w:eastAsia="Calibri" w:cs="Times New Roman"/>
          <w:highlight w:val="yellow"/>
        </w:rPr>
      </w:pPr>
    </w:p>
    <w:p w14:paraId="77C95AE4" w14:textId="77777777" w:rsidR="003971FF" w:rsidRPr="007F6EA2" w:rsidRDefault="004671C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In response to comments received on the June 2024 Express Terms, the California Energy Commission (CEC) is publishing this second Notice of 15-Day Public Comment Period with proposed additional changes specifically limited to the following sections of the California Code of Regulations, Title 24: </w:t>
      </w:r>
    </w:p>
    <w:p w14:paraId="02B0E3C7"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Administrative Procedures for the Energy Code Compliance Program, Part 1, Chapter 10, Section 10-103.3, 2</w:t>
      </w:r>
    </w:p>
    <w:p w14:paraId="571F0203"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xml:space="preserve">• Compliance Software, Alternative Component Packages, Exceptional Methods, Data Registries and Related External Digital Data Sources, Alternative Residential Field Verification Protocols, Electronic </w:t>
      </w:r>
      <w:r w:rsidRPr="002F663C">
        <w:rPr>
          <w:rFonts w:eastAsia="Calibri" w:cs="Times New Roman"/>
          <w:szCs w:val="18"/>
        </w:rPr>
        <w:lastRenderedPageBreak/>
        <w:t>Document Repositories, Photovoltaic, and Battery Energy Storage System Requirement Determinations, Part 1, Chapter 10, Section 10-109,</w:t>
      </w:r>
    </w:p>
    <w:p w14:paraId="5B9D1A30"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Definitions, Part 6, Section 100.1,</w:t>
      </w:r>
    </w:p>
    <w:p w14:paraId="35027FE6"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Mandatory Requirements for Fans, Part 6, Section 120.10,</w:t>
      </w:r>
    </w:p>
    <w:p w14:paraId="3BF179F0"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Performance Approach: Energy Budgets for Nonresidential Buildings, Part 6, Section 140.1(a),</w:t>
      </w:r>
    </w:p>
    <w:p w14:paraId="39DFCECB"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Prescriptive Requirements for Space Conditioning Systems, Multi-zone Space conditioning System Types, Part 6, Section 140.4(a)3,</w:t>
      </w:r>
    </w:p>
    <w:p w14:paraId="5A0D1D15"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Prescriptive Requirements for New or Replacement Space-Conditioning Systems or Components in Nonresidential Buildings, Alterations, Part 6, Section 141.0(b)2C,</w:t>
      </w:r>
    </w:p>
    <w:p w14:paraId="44219894"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Performance and Prescriptive Compliance Approaches for Single-Family Residential Buildings, Part 6, Section 150.1(b)1A,</w:t>
      </w:r>
    </w:p>
    <w:p w14:paraId="57E73976"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Mandatory Requirements for Space Conditioning Systems in Multifamily Buildings, Dwelling Unit Space-Conditioning and Air Distribution Systems, Part 6, Section 160.3(b)5Liii,</w:t>
      </w:r>
    </w:p>
    <w:p w14:paraId="5C943995"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Multifamily Buildings Performance Compliance Approach, Part 6, Section 170.1(a)1,</w:t>
      </w:r>
    </w:p>
    <w:p w14:paraId="3D72018A"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Qualification Requirements for High Luminous Efficacy Light Sources, Marking, Joint Appendix JA8.5 and JA8.9, and</w:t>
      </w:r>
    </w:p>
    <w:p w14:paraId="59B1E100"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 Qualification Requirements for Heat Pump Water Heater Demand Management Systems, Minimum Performance Requirements, Efficiency, Joint Appendix JA13.3.2(a).</w:t>
      </w:r>
    </w:p>
    <w:p w14:paraId="18119CFC"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This newly published set of regulatory text is designated, "August 2024 Express Terms." Only sections that include proposed changes are included in the associated regulatory text; all other sections of the proposed California Energy Code update remain the same as in the June 2024 Express Terms. The public is invited to submit written comments on the proposed changes to these sections included in the August 2024 Express Terms during a second 15-day comment period from 22 August through 6 September 2024. Any interested person may submit written comments to the CEC for consideration on or prior to 6 September 2024. The CEC appreciates receiving written comments at the earliest possible date. Comments submitted outside this comment period are considered untimely. The CEC may, but is not required to, respond to untimely comments.</w:t>
      </w:r>
    </w:p>
    <w:p w14:paraId="76C03D2B" w14:textId="77777777" w:rsidR="00BA1389" w:rsidRPr="002F663C" w:rsidRDefault="004671C2" w:rsidP="00B16ACF">
      <w:pPr>
        <w:spacing w:before="120" w:after="120"/>
        <w:rPr>
          <w:rFonts w:eastAsia="Calibri" w:cs="Times New Roman"/>
          <w:szCs w:val="18"/>
        </w:rPr>
      </w:pPr>
      <w:r w:rsidRPr="002F663C">
        <w:rPr>
          <w:rFonts w:eastAsia="Calibri" w:cs="Times New Roman"/>
          <w:szCs w:val="18"/>
        </w:rPr>
        <w:t>2025 Energy Code Rulemaking Docket Log 24 -BSTD-01:</w:t>
      </w:r>
    </w:p>
    <w:p w14:paraId="47F7A1B7" w14:textId="77777777" w:rsidR="00BA1389" w:rsidRPr="002F663C" w:rsidRDefault="005B5484" w:rsidP="00B16ACF">
      <w:pPr>
        <w:spacing w:before="120" w:after="120"/>
        <w:rPr>
          <w:rFonts w:eastAsia="Calibri" w:cs="Times New Roman"/>
          <w:szCs w:val="18"/>
        </w:rPr>
      </w:pPr>
      <w:hyperlink r:id="rId11" w:history="1">
        <w:r w:rsidR="004671C2" w:rsidRPr="002F663C">
          <w:rPr>
            <w:rFonts w:eastAsia="Calibri" w:cs="Times New Roman"/>
            <w:color w:val="0000FF"/>
            <w:szCs w:val="18"/>
            <w:u w:val="single"/>
          </w:rPr>
          <w:t>https://efiling.energy.ca.gov/Lists/DocketLog.aspx?docketnumber=24-BSTD-01</w:t>
        </w:r>
      </w:hyperlink>
    </w:p>
    <w:p w14:paraId="0203D681" w14:textId="77777777" w:rsidR="006C5A96" w:rsidRDefault="004671C2" w:rsidP="006C5A96">
      <w:pPr>
        <w:jc w:val="center"/>
        <w:rPr>
          <w:b/>
        </w:rPr>
      </w:pPr>
      <w:r w:rsidRPr="003971FF">
        <w:rPr>
          <w:b/>
        </w:rPr>
        <w:t>__________</w:t>
      </w:r>
    </w:p>
    <w:p w14:paraId="6848D15A" w14:textId="77777777" w:rsidR="004D4D19" w:rsidRDefault="004D4D19" w:rsidP="007F38C2">
      <w:pPr>
        <w:jc w:val="center"/>
        <w:rPr>
          <w:b/>
        </w:rPr>
      </w:pPr>
    </w:p>
    <w:p w14:paraId="4C945645"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73EB" w14:textId="77777777" w:rsidR="004671C2" w:rsidRDefault="004671C2">
      <w:r>
        <w:separator/>
      </w:r>
    </w:p>
  </w:endnote>
  <w:endnote w:type="continuationSeparator" w:id="0">
    <w:p w14:paraId="21372453" w14:textId="77777777" w:rsidR="004671C2" w:rsidRDefault="0046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3F3C" w14:textId="77777777" w:rsidR="00544326" w:rsidRPr="00DD3DD7" w:rsidRDefault="004671C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917E" w14:textId="77777777" w:rsidR="00544326" w:rsidRPr="00DD3DD7" w:rsidRDefault="004671C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1C4B" w14:textId="77777777" w:rsidR="005B5484" w:rsidRDefault="005B5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9967" w14:textId="77777777" w:rsidR="004D3A6A" w:rsidRDefault="004671C2" w:rsidP="00ED54E0">
      <w:r>
        <w:separator/>
      </w:r>
    </w:p>
  </w:footnote>
  <w:footnote w:type="continuationSeparator" w:id="0">
    <w:p w14:paraId="47C7D0C9" w14:textId="77777777" w:rsidR="004D3A6A" w:rsidRDefault="004671C2" w:rsidP="00ED54E0">
      <w:r>
        <w:continuationSeparator/>
      </w:r>
    </w:p>
  </w:footnote>
  <w:footnote w:id="1">
    <w:p w14:paraId="21D931AB" w14:textId="77777777" w:rsidR="007F6EA2" w:rsidRDefault="004671C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EE40" w14:textId="77777777" w:rsidR="00DD3DD7" w:rsidRDefault="004671C2"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3FEEF327" w14:textId="77777777" w:rsidR="004D4D19" w:rsidRPr="00DD3DD7" w:rsidRDefault="004D4D19" w:rsidP="00DD3DD7">
    <w:pPr>
      <w:pStyle w:val="Header"/>
      <w:pBdr>
        <w:bottom w:val="single" w:sz="4" w:space="1" w:color="auto"/>
      </w:pBdr>
      <w:tabs>
        <w:tab w:val="clear" w:pos="4513"/>
        <w:tab w:val="clear" w:pos="9027"/>
      </w:tabs>
      <w:jc w:val="center"/>
    </w:pPr>
  </w:p>
  <w:p w14:paraId="4CF2FA35" w14:textId="77777777" w:rsidR="00DD3DD7" w:rsidRPr="00DD3DD7" w:rsidRDefault="004671C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075915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ABE2" w14:textId="77777777" w:rsidR="00DD3DD7" w:rsidRPr="00DD3DD7" w:rsidRDefault="004671C2" w:rsidP="00DD3DD7">
    <w:pPr>
      <w:pStyle w:val="Header"/>
      <w:pBdr>
        <w:bottom w:val="single" w:sz="4" w:space="1" w:color="auto"/>
      </w:pBdr>
      <w:tabs>
        <w:tab w:val="clear" w:pos="4513"/>
        <w:tab w:val="clear" w:pos="9027"/>
      </w:tabs>
      <w:jc w:val="center"/>
    </w:pPr>
    <w:bookmarkStart w:id="3" w:name="spsSymbolHeader"/>
    <w:r w:rsidRPr="00DD3DD7">
      <w:t>G/TBT/N/USA/1336/Rev.1/Add.3</w:t>
    </w:r>
    <w:bookmarkEnd w:id="3"/>
  </w:p>
  <w:p w14:paraId="702EDD3B" w14:textId="77777777" w:rsidR="00DD3DD7" w:rsidRPr="00DD3DD7" w:rsidRDefault="00DD3DD7" w:rsidP="00DD3DD7">
    <w:pPr>
      <w:pStyle w:val="Header"/>
      <w:pBdr>
        <w:bottom w:val="single" w:sz="4" w:space="1" w:color="auto"/>
      </w:pBdr>
      <w:tabs>
        <w:tab w:val="clear" w:pos="4513"/>
        <w:tab w:val="clear" w:pos="9027"/>
      </w:tabs>
      <w:jc w:val="center"/>
    </w:pPr>
  </w:p>
  <w:p w14:paraId="50EA225C" w14:textId="77777777" w:rsidR="00DD3DD7" w:rsidRPr="00DD3DD7" w:rsidRDefault="004671C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134FC1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60B2" w14:paraId="498B36CC" w14:textId="77777777" w:rsidTr="00544326">
      <w:trPr>
        <w:trHeight w:val="240"/>
        <w:jc w:val="center"/>
      </w:trPr>
      <w:tc>
        <w:tcPr>
          <w:tcW w:w="3794" w:type="dxa"/>
          <w:shd w:val="clear" w:color="auto" w:fill="FFFFFF"/>
          <w:tcMar>
            <w:left w:w="108" w:type="dxa"/>
            <w:right w:w="108" w:type="dxa"/>
          </w:tcMar>
          <w:vAlign w:val="center"/>
        </w:tcPr>
        <w:p w14:paraId="5E49315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8F5D222" w14:textId="77777777" w:rsidR="00ED54E0" w:rsidRPr="00182B84" w:rsidRDefault="004671C2" w:rsidP="00425DC5">
          <w:pPr>
            <w:jc w:val="right"/>
            <w:rPr>
              <w:b/>
              <w:color w:val="FF0000"/>
              <w:szCs w:val="16"/>
            </w:rPr>
          </w:pPr>
          <w:r>
            <w:rPr>
              <w:b/>
              <w:color w:val="FF0000"/>
              <w:szCs w:val="16"/>
            </w:rPr>
            <w:t xml:space="preserve"> </w:t>
          </w:r>
        </w:p>
      </w:tc>
    </w:tr>
    <w:tr w:rsidR="006E60B2" w14:paraId="07D82209" w14:textId="77777777" w:rsidTr="00544326">
      <w:trPr>
        <w:trHeight w:val="213"/>
        <w:jc w:val="center"/>
      </w:trPr>
      <w:tc>
        <w:tcPr>
          <w:tcW w:w="3794" w:type="dxa"/>
          <w:vMerge w:val="restart"/>
          <w:shd w:val="clear" w:color="auto" w:fill="FFFFFF"/>
          <w:tcMar>
            <w:left w:w="0" w:type="dxa"/>
            <w:right w:w="0" w:type="dxa"/>
          </w:tcMar>
        </w:tcPr>
        <w:p w14:paraId="7CC1FEC8" w14:textId="77777777" w:rsidR="00ED54E0" w:rsidRPr="00182B84" w:rsidRDefault="004671C2" w:rsidP="00425DC5">
          <w:pPr>
            <w:jc w:val="left"/>
          </w:pPr>
          <w:r w:rsidRPr="00182B84">
            <w:rPr>
              <w:noProof/>
              <w:lang w:val="en-US"/>
            </w:rPr>
            <w:drawing>
              <wp:inline distT="0" distB="0" distL="0" distR="0" wp14:anchorId="3448F95D" wp14:editId="6E933EB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147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583438" w14:textId="77777777" w:rsidR="00ED54E0" w:rsidRPr="00182B84" w:rsidRDefault="00ED54E0" w:rsidP="00425DC5">
          <w:pPr>
            <w:jc w:val="right"/>
            <w:rPr>
              <w:b/>
              <w:szCs w:val="16"/>
            </w:rPr>
          </w:pPr>
        </w:p>
      </w:tc>
    </w:tr>
    <w:tr w:rsidR="006E60B2" w14:paraId="35A77155" w14:textId="77777777" w:rsidTr="00544326">
      <w:trPr>
        <w:trHeight w:val="868"/>
        <w:jc w:val="center"/>
      </w:trPr>
      <w:tc>
        <w:tcPr>
          <w:tcW w:w="3794" w:type="dxa"/>
          <w:vMerge/>
          <w:shd w:val="clear" w:color="auto" w:fill="FFFFFF"/>
          <w:tcMar>
            <w:left w:w="108" w:type="dxa"/>
            <w:right w:w="108" w:type="dxa"/>
          </w:tcMar>
        </w:tcPr>
        <w:p w14:paraId="099E770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F4842FF" w14:textId="77777777" w:rsidR="00DD3DD7" w:rsidRPr="002F663C" w:rsidRDefault="004671C2" w:rsidP="00DD3DD7">
          <w:pPr>
            <w:jc w:val="right"/>
            <w:rPr>
              <w:rFonts w:eastAsia="Calibri" w:cs="Times New Roman"/>
              <w:b/>
              <w:szCs w:val="16"/>
            </w:rPr>
          </w:pPr>
          <w:bookmarkStart w:id="4" w:name="bmkSymbols"/>
          <w:r w:rsidRPr="002F663C">
            <w:rPr>
              <w:rFonts w:eastAsia="Calibri" w:cs="Times New Roman"/>
              <w:b/>
              <w:szCs w:val="16"/>
            </w:rPr>
            <w:t>G/TBT/N/USA/1336/Rev.1/Add.3</w:t>
          </w:r>
          <w:bookmarkEnd w:id="4"/>
        </w:p>
        <w:p w14:paraId="323EFE1D" w14:textId="77777777" w:rsidR="00C14444" w:rsidRPr="00C14444" w:rsidRDefault="00C14444" w:rsidP="00C14444">
          <w:pPr>
            <w:jc w:val="center"/>
            <w:rPr>
              <w:szCs w:val="16"/>
            </w:rPr>
          </w:pPr>
        </w:p>
      </w:tc>
    </w:tr>
    <w:tr w:rsidR="006E60B2" w14:paraId="3998227E" w14:textId="77777777" w:rsidTr="00544326">
      <w:trPr>
        <w:trHeight w:val="240"/>
        <w:jc w:val="center"/>
      </w:trPr>
      <w:tc>
        <w:tcPr>
          <w:tcW w:w="3794" w:type="dxa"/>
          <w:vMerge/>
          <w:shd w:val="clear" w:color="auto" w:fill="FFFFFF"/>
          <w:tcMar>
            <w:left w:w="108" w:type="dxa"/>
            <w:right w:w="108" w:type="dxa"/>
          </w:tcMar>
          <w:vAlign w:val="center"/>
        </w:tcPr>
        <w:p w14:paraId="73B398B3" w14:textId="77777777" w:rsidR="00ED54E0" w:rsidRPr="00182B84" w:rsidRDefault="00ED54E0" w:rsidP="00425DC5"/>
      </w:tc>
      <w:tc>
        <w:tcPr>
          <w:tcW w:w="5448" w:type="dxa"/>
          <w:gridSpan w:val="2"/>
          <w:shd w:val="clear" w:color="auto" w:fill="FFFFFF"/>
          <w:tcMar>
            <w:left w:w="108" w:type="dxa"/>
            <w:right w:w="108" w:type="dxa"/>
          </w:tcMar>
          <w:vAlign w:val="center"/>
        </w:tcPr>
        <w:p w14:paraId="4BF60E87" w14:textId="469C5F57" w:rsidR="00ED54E0" w:rsidRPr="00182B84" w:rsidRDefault="004671C2" w:rsidP="00425DC5">
          <w:pPr>
            <w:jc w:val="right"/>
            <w:rPr>
              <w:szCs w:val="16"/>
            </w:rPr>
          </w:pPr>
          <w:bookmarkStart w:id="5" w:name="bmkDate"/>
          <w:bookmarkEnd w:id="5"/>
          <w:r>
            <w:rPr>
              <w:szCs w:val="16"/>
            </w:rPr>
            <w:t>27 August 2024</w:t>
          </w:r>
        </w:p>
      </w:tc>
    </w:tr>
    <w:tr w:rsidR="006E60B2" w14:paraId="56898B4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700043" w14:textId="4F3D5BA7" w:rsidR="00ED54E0" w:rsidRPr="00182B84" w:rsidRDefault="004671C2"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5B5484">
            <w:rPr>
              <w:rFonts w:eastAsia="Calibri" w:cs="Times New Roman"/>
              <w:color w:val="FF0000"/>
              <w:szCs w:val="16"/>
            </w:rPr>
            <w:t>5940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FC6BE91" w14:textId="77777777" w:rsidR="00ED54E0" w:rsidRPr="00182B84" w:rsidRDefault="004671C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E60B2" w14:paraId="74DCC72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B205E0" w14:textId="77777777" w:rsidR="00ED54E0" w:rsidRPr="00182B84" w:rsidRDefault="004671C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9985AB6" w14:textId="77777777" w:rsidR="00ED54E0" w:rsidRPr="00182B84" w:rsidRDefault="004671C2"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54D1884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BAFED8">
      <w:start w:val="1"/>
      <w:numFmt w:val="decimal"/>
      <w:pStyle w:val="SummaryText"/>
      <w:lvlText w:val="%1."/>
      <w:lvlJc w:val="left"/>
      <w:pPr>
        <w:ind w:left="360" w:hanging="360"/>
      </w:pPr>
    </w:lvl>
    <w:lvl w:ilvl="1" w:tplc="291C6600" w:tentative="1">
      <w:start w:val="1"/>
      <w:numFmt w:val="lowerLetter"/>
      <w:lvlText w:val="%2."/>
      <w:lvlJc w:val="left"/>
      <w:pPr>
        <w:ind w:left="1080" w:hanging="360"/>
      </w:pPr>
    </w:lvl>
    <w:lvl w:ilvl="2" w:tplc="874CF740" w:tentative="1">
      <w:start w:val="1"/>
      <w:numFmt w:val="lowerRoman"/>
      <w:lvlText w:val="%3."/>
      <w:lvlJc w:val="right"/>
      <w:pPr>
        <w:ind w:left="1800" w:hanging="180"/>
      </w:pPr>
    </w:lvl>
    <w:lvl w:ilvl="3" w:tplc="15EA248C" w:tentative="1">
      <w:start w:val="1"/>
      <w:numFmt w:val="decimal"/>
      <w:lvlText w:val="%4."/>
      <w:lvlJc w:val="left"/>
      <w:pPr>
        <w:ind w:left="2520" w:hanging="360"/>
      </w:pPr>
    </w:lvl>
    <w:lvl w:ilvl="4" w:tplc="5F5486D8" w:tentative="1">
      <w:start w:val="1"/>
      <w:numFmt w:val="lowerLetter"/>
      <w:lvlText w:val="%5."/>
      <w:lvlJc w:val="left"/>
      <w:pPr>
        <w:ind w:left="3240" w:hanging="360"/>
      </w:pPr>
    </w:lvl>
    <w:lvl w:ilvl="5" w:tplc="7CF8B800" w:tentative="1">
      <w:start w:val="1"/>
      <w:numFmt w:val="lowerRoman"/>
      <w:lvlText w:val="%6."/>
      <w:lvlJc w:val="right"/>
      <w:pPr>
        <w:ind w:left="3960" w:hanging="180"/>
      </w:pPr>
    </w:lvl>
    <w:lvl w:ilvl="6" w:tplc="7EAE6F08" w:tentative="1">
      <w:start w:val="1"/>
      <w:numFmt w:val="decimal"/>
      <w:lvlText w:val="%7."/>
      <w:lvlJc w:val="left"/>
      <w:pPr>
        <w:ind w:left="4680" w:hanging="360"/>
      </w:pPr>
    </w:lvl>
    <w:lvl w:ilvl="7" w:tplc="081EB0A4" w:tentative="1">
      <w:start w:val="1"/>
      <w:numFmt w:val="lowerLetter"/>
      <w:lvlText w:val="%8."/>
      <w:lvlJc w:val="left"/>
      <w:pPr>
        <w:ind w:left="5400" w:hanging="360"/>
      </w:pPr>
    </w:lvl>
    <w:lvl w:ilvl="8" w:tplc="250CC3A6" w:tentative="1">
      <w:start w:val="1"/>
      <w:numFmt w:val="lowerRoman"/>
      <w:lvlText w:val="%9."/>
      <w:lvlJc w:val="right"/>
      <w:pPr>
        <w:ind w:left="6120" w:hanging="180"/>
      </w:pPr>
    </w:lvl>
  </w:abstractNum>
  <w:num w:numId="1" w16cid:durableId="2141996753">
    <w:abstractNumId w:val="9"/>
  </w:num>
  <w:num w:numId="2" w16cid:durableId="1720132003">
    <w:abstractNumId w:val="7"/>
  </w:num>
  <w:num w:numId="3" w16cid:durableId="1829318904">
    <w:abstractNumId w:val="6"/>
  </w:num>
  <w:num w:numId="4" w16cid:durableId="198323089">
    <w:abstractNumId w:val="5"/>
  </w:num>
  <w:num w:numId="5" w16cid:durableId="1308823324">
    <w:abstractNumId w:val="4"/>
  </w:num>
  <w:num w:numId="6" w16cid:durableId="13116215">
    <w:abstractNumId w:val="12"/>
  </w:num>
  <w:num w:numId="7" w16cid:durableId="638996188">
    <w:abstractNumId w:val="11"/>
  </w:num>
  <w:num w:numId="8" w16cid:durableId="1898008867">
    <w:abstractNumId w:val="10"/>
  </w:num>
  <w:num w:numId="9" w16cid:durableId="277299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835694">
    <w:abstractNumId w:val="13"/>
  </w:num>
  <w:num w:numId="11" w16cid:durableId="859003226">
    <w:abstractNumId w:val="8"/>
  </w:num>
  <w:num w:numId="12" w16cid:durableId="183053420">
    <w:abstractNumId w:val="3"/>
  </w:num>
  <w:num w:numId="13" w16cid:durableId="1385370746">
    <w:abstractNumId w:val="2"/>
  </w:num>
  <w:num w:numId="14" w16cid:durableId="1460801803">
    <w:abstractNumId w:val="1"/>
  </w:num>
  <w:num w:numId="15" w16cid:durableId="728458646">
    <w:abstractNumId w:val="0"/>
  </w:num>
  <w:num w:numId="16" w16cid:durableId="34737079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1C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5484"/>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60B2"/>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1389"/>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E7476"/>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4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filing.energy.ca.gov/Lists/DocketLog.aspx?docketnumber=24-BSTD-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wto.org/crnattachments/2024/TBT/USA/modification/24_05614_00_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filing.energy.ca.gov/Lists/DocketLog.aspx?docketnumber=24-BSTD-0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0DEED63A-5AC1-4E34-BA4B-55C7F4ACF0B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2024-08-26T14:37:00Z</dcterms:created>
  <dcterms:modified xsi:type="dcterms:W3CDTF">2024-08-26T15:14:00Z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