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FAE3" w14:textId="77777777" w:rsidR="002D78C9" w:rsidRDefault="009B1FBE" w:rsidP="00DD3DD7">
      <w:pPr>
        <w:pStyle w:val="Title"/>
      </w:pPr>
      <w:r w:rsidRPr="002F663C">
        <w:t>NOTIFICATION</w:t>
      </w:r>
    </w:p>
    <w:p w14:paraId="1B1E90C3" w14:textId="77777777" w:rsidR="002F663C" w:rsidRPr="002F663C" w:rsidRDefault="009B1FBE" w:rsidP="00DD3DD7">
      <w:pPr>
        <w:pStyle w:val="Title3"/>
      </w:pPr>
      <w:r w:rsidRPr="002F663C">
        <w:t>Addendum</w:t>
      </w:r>
    </w:p>
    <w:p w14:paraId="7EA44873" w14:textId="77777777" w:rsidR="002F663C" w:rsidRDefault="009B1FB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F7C6C25" w14:textId="77777777" w:rsidR="001E2E4A" w:rsidRPr="002F663C" w:rsidRDefault="001E2E4A" w:rsidP="001E2E4A">
      <w:pPr>
        <w:rPr>
          <w:rFonts w:eastAsia="Calibri" w:cs="Times New Roman"/>
        </w:rPr>
      </w:pPr>
    </w:p>
    <w:p w14:paraId="634DB7C2" w14:textId="77777777" w:rsidR="002F663C" w:rsidRPr="002F663C" w:rsidRDefault="009B1FBE" w:rsidP="002F663C">
      <w:pPr>
        <w:jc w:val="center"/>
        <w:rPr>
          <w:rFonts w:eastAsia="Calibri" w:cs="Times New Roman"/>
          <w:b/>
        </w:rPr>
      </w:pPr>
      <w:r w:rsidRPr="002F663C">
        <w:rPr>
          <w:rFonts w:eastAsia="Calibri" w:cs="Times New Roman"/>
          <w:b/>
        </w:rPr>
        <w:t>_______________</w:t>
      </w:r>
    </w:p>
    <w:p w14:paraId="378F721B" w14:textId="77777777" w:rsidR="002F663C" w:rsidRDefault="002F663C" w:rsidP="002F663C">
      <w:pPr>
        <w:rPr>
          <w:rFonts w:eastAsia="Calibri" w:cs="Times New Roman"/>
        </w:rPr>
      </w:pPr>
    </w:p>
    <w:p w14:paraId="15194D7A" w14:textId="77777777" w:rsidR="00C14444" w:rsidRPr="002F663C" w:rsidRDefault="00C14444" w:rsidP="002F663C">
      <w:pPr>
        <w:rPr>
          <w:rFonts w:eastAsia="Calibri" w:cs="Times New Roman"/>
        </w:rPr>
      </w:pPr>
    </w:p>
    <w:p w14:paraId="06BE08BB" w14:textId="77777777" w:rsidR="002F663C" w:rsidRPr="002F663C" w:rsidRDefault="009B1FB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Procedures for Chemical Risk Evaluation Under the Amended Toxic Substances Control Act</w:t>
      </w:r>
      <w:bookmarkEnd w:id="3"/>
    </w:p>
    <w:p w14:paraId="4361A56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D2038" w14:paraId="2091B98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41263F7" w14:textId="77777777" w:rsidR="002F663C" w:rsidRPr="002F663C" w:rsidRDefault="009B1FB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D2038" w14:paraId="4CD15941" w14:textId="77777777" w:rsidTr="00E9471B">
        <w:tc>
          <w:tcPr>
            <w:tcW w:w="851" w:type="dxa"/>
            <w:shd w:val="clear" w:color="auto" w:fill="auto"/>
          </w:tcPr>
          <w:p w14:paraId="11870567" w14:textId="77777777" w:rsidR="002F663C" w:rsidRPr="00711F9C" w:rsidRDefault="009B1FB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3E6EAFB" w14:textId="77777777" w:rsidR="002F663C" w:rsidRPr="002F663C" w:rsidRDefault="009B1FB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2D2038" w14:paraId="0E5E72BF" w14:textId="77777777" w:rsidTr="00E9471B">
        <w:tc>
          <w:tcPr>
            <w:tcW w:w="851" w:type="dxa"/>
            <w:shd w:val="clear" w:color="auto" w:fill="auto"/>
          </w:tcPr>
          <w:p w14:paraId="1659E3B0" w14:textId="77777777" w:rsidR="002F663C" w:rsidRPr="00711F9C" w:rsidRDefault="009B1FB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1809EF2" w14:textId="77777777" w:rsidR="002F663C" w:rsidRPr="002F663C" w:rsidRDefault="009B1FB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D2038" w14:paraId="2C5C7858" w14:textId="77777777" w:rsidTr="00E9471B">
        <w:tc>
          <w:tcPr>
            <w:tcW w:w="851" w:type="dxa"/>
            <w:shd w:val="clear" w:color="auto" w:fill="auto"/>
          </w:tcPr>
          <w:p w14:paraId="5864D224" w14:textId="77777777" w:rsidR="002F663C" w:rsidRPr="00711F9C" w:rsidRDefault="009B1FB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EDE973B" w14:textId="77777777" w:rsidR="002F663C" w:rsidRPr="002F663C" w:rsidRDefault="009B1FB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3 May 2024</w:t>
            </w:r>
            <w:bookmarkEnd w:id="10"/>
          </w:p>
        </w:tc>
      </w:tr>
      <w:tr w:rsidR="002D2038" w14:paraId="79F9531A" w14:textId="77777777" w:rsidTr="00E9471B">
        <w:tc>
          <w:tcPr>
            <w:tcW w:w="851" w:type="dxa"/>
            <w:shd w:val="clear" w:color="auto" w:fill="auto"/>
          </w:tcPr>
          <w:p w14:paraId="72818D80" w14:textId="77777777" w:rsidR="002F663C" w:rsidRPr="00711F9C" w:rsidRDefault="009B1FB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F1E56EA" w14:textId="77777777" w:rsidR="002F663C" w:rsidRPr="002F663C" w:rsidRDefault="009B1FB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 July 2024</w:t>
            </w:r>
            <w:bookmarkEnd w:id="12"/>
          </w:p>
        </w:tc>
      </w:tr>
      <w:tr w:rsidR="002D2038" w14:paraId="15205145" w14:textId="77777777" w:rsidTr="00E9471B">
        <w:tc>
          <w:tcPr>
            <w:tcW w:w="851" w:type="dxa"/>
            <w:shd w:val="clear" w:color="auto" w:fill="auto"/>
          </w:tcPr>
          <w:p w14:paraId="6CF615A3" w14:textId="77777777" w:rsidR="002F663C" w:rsidRPr="00711F9C" w:rsidRDefault="009B1FB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7A8FE88" w14:textId="77777777" w:rsidR="002F663C" w:rsidRPr="002F663C" w:rsidRDefault="009B1FBE"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9398C08" w14:textId="77777777" w:rsidR="002F663C" w:rsidRPr="002F663C" w:rsidRDefault="009B1FBE" w:rsidP="00EB7B40">
            <w:pPr>
              <w:spacing w:before="120" w:after="120"/>
              <w:rPr>
                <w:rFonts w:eastAsia="Calibri" w:cs="Times New Roman"/>
              </w:rPr>
            </w:pPr>
            <w:r w:rsidRPr="002F663C">
              <w:rPr>
                <w:rFonts w:eastAsia="Calibri" w:cs="Times New Roman"/>
              </w:rPr>
              <w:t>89 Federal Register (FR) 37028, Title 40 Code of Federal Regulations (CFR) Part 702:</w:t>
            </w:r>
          </w:p>
          <w:p w14:paraId="5FBE0CEF" w14:textId="77777777" w:rsidR="002F663C" w:rsidRPr="002F663C" w:rsidRDefault="00547B79" w:rsidP="00EB7B40">
            <w:pPr>
              <w:spacing w:before="120" w:after="120"/>
              <w:rPr>
                <w:rFonts w:eastAsia="Calibri" w:cs="Times New Roman"/>
              </w:rPr>
            </w:pPr>
            <w:hyperlink r:id="rId9" w:tgtFrame="_blank" w:history="1">
              <w:r w:rsidR="009B1FBE" w:rsidRPr="002F663C">
                <w:rPr>
                  <w:rFonts w:eastAsia="Calibri" w:cs="Times New Roman"/>
                  <w:color w:val="0000FF"/>
                  <w:u w:val="single"/>
                </w:rPr>
                <w:t>https://www.govinfo.gov/content/pkg/FR-2024-05-03/html/2024-09417.htm</w:t>
              </w:r>
            </w:hyperlink>
          </w:p>
          <w:p w14:paraId="19031A99" w14:textId="77777777" w:rsidR="002F663C" w:rsidRPr="002F663C" w:rsidRDefault="00547B79" w:rsidP="00EB7B40">
            <w:pPr>
              <w:spacing w:before="120" w:after="120"/>
              <w:rPr>
                <w:rFonts w:eastAsia="Calibri" w:cs="Times New Roman"/>
              </w:rPr>
            </w:pPr>
            <w:hyperlink r:id="rId10" w:tgtFrame="_blank" w:history="1">
              <w:r w:rsidR="009B1FBE" w:rsidRPr="002F663C">
                <w:rPr>
                  <w:rFonts w:eastAsia="Calibri" w:cs="Times New Roman"/>
                  <w:color w:val="0000FF"/>
                  <w:u w:val="single"/>
                </w:rPr>
                <w:t>https://www.govinfo.gov/content/pkg/FR-2024-05-03/pdf/2024-09417.pdf</w:t>
              </w:r>
            </w:hyperlink>
          </w:p>
          <w:p w14:paraId="27201708" w14:textId="77777777" w:rsidR="002F663C" w:rsidRPr="002F663C" w:rsidRDefault="00547B79" w:rsidP="00EB7B40">
            <w:pPr>
              <w:spacing w:before="120" w:after="120"/>
              <w:rPr>
                <w:rFonts w:eastAsia="Calibri" w:cs="Times New Roman"/>
              </w:rPr>
            </w:pPr>
            <w:hyperlink r:id="rId11" w:tgtFrame="_blank" w:history="1">
              <w:r w:rsidR="009B1FBE" w:rsidRPr="002F663C">
                <w:rPr>
                  <w:rFonts w:eastAsia="Calibri" w:cs="Times New Roman"/>
                  <w:color w:val="0000FF"/>
                  <w:u w:val="single"/>
                </w:rPr>
                <w:t>https://members.wto.org/crnattachments/2024/TBT/USA/final_measure/24_03115_00_e.pdf</w:t>
              </w:r>
            </w:hyperlink>
            <w:bookmarkEnd w:id="15"/>
          </w:p>
        </w:tc>
      </w:tr>
      <w:tr w:rsidR="002D2038" w14:paraId="646A77EE" w14:textId="77777777" w:rsidTr="00E9471B">
        <w:tc>
          <w:tcPr>
            <w:tcW w:w="851" w:type="dxa"/>
            <w:shd w:val="clear" w:color="auto" w:fill="auto"/>
          </w:tcPr>
          <w:p w14:paraId="13DA82DC" w14:textId="77777777" w:rsidR="002F663C" w:rsidRPr="00711F9C" w:rsidRDefault="009B1FB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0DAEDA4" w14:textId="77777777" w:rsidR="002F663C" w:rsidRPr="002F663C" w:rsidRDefault="009B1FB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9DB7D81" w14:textId="77777777" w:rsidR="002F663C" w:rsidRPr="002F663C" w:rsidRDefault="009B1FB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D2038" w14:paraId="347EE033" w14:textId="77777777" w:rsidTr="00E9471B">
        <w:tc>
          <w:tcPr>
            <w:tcW w:w="851" w:type="dxa"/>
            <w:shd w:val="clear" w:color="auto" w:fill="auto"/>
          </w:tcPr>
          <w:p w14:paraId="6387DCE5" w14:textId="77777777" w:rsidR="002F663C" w:rsidRPr="00711F9C" w:rsidRDefault="009B1FB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E322B8F" w14:textId="77777777" w:rsidR="002F663C" w:rsidRPr="002F663C" w:rsidRDefault="009B1FB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5BDFC25" w14:textId="77777777" w:rsidR="002F663C" w:rsidRPr="002F663C" w:rsidRDefault="009B1FB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D2038" w14:paraId="5788C3C7" w14:textId="77777777" w:rsidTr="00E9471B">
        <w:tc>
          <w:tcPr>
            <w:tcW w:w="851" w:type="dxa"/>
            <w:shd w:val="clear" w:color="auto" w:fill="auto"/>
          </w:tcPr>
          <w:p w14:paraId="026BC652" w14:textId="77777777" w:rsidR="002F663C" w:rsidRPr="00711F9C" w:rsidRDefault="009B1FB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BA3D755" w14:textId="77777777" w:rsidR="002F663C" w:rsidRPr="002F663C" w:rsidRDefault="009B1FB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D2038" w14:paraId="38E75B63" w14:textId="77777777" w:rsidTr="00E9471B">
        <w:tc>
          <w:tcPr>
            <w:tcW w:w="851" w:type="dxa"/>
            <w:tcBorders>
              <w:bottom w:val="double" w:sz="4" w:space="0" w:color="auto"/>
            </w:tcBorders>
            <w:shd w:val="clear" w:color="auto" w:fill="auto"/>
          </w:tcPr>
          <w:p w14:paraId="34CB896D" w14:textId="77777777" w:rsidR="002F663C" w:rsidRPr="00711F9C" w:rsidRDefault="009B1FB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F63F628" w14:textId="77777777" w:rsidR="002F663C" w:rsidRPr="002F663C" w:rsidRDefault="009B1FB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EA9AC60" w14:textId="77777777" w:rsidR="002F663C" w:rsidRPr="002F663C" w:rsidRDefault="002F663C" w:rsidP="002F663C">
      <w:pPr>
        <w:jc w:val="left"/>
        <w:rPr>
          <w:rFonts w:eastAsia="Calibri" w:cs="Times New Roman"/>
          <w:highlight w:val="yellow"/>
        </w:rPr>
      </w:pPr>
    </w:p>
    <w:p w14:paraId="6E469652" w14:textId="77777777" w:rsidR="003971FF" w:rsidRPr="007F6EA2" w:rsidRDefault="009B1FB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Environmental Protection Agency (EPA or the Agency) is finalizing amendments to the procedural framework rule for conducting </w:t>
      </w:r>
      <w:hyperlink r:id="rId12" w:history="1">
        <w:r w:rsidRPr="002F663C">
          <w:rPr>
            <w:rFonts w:eastAsia="Calibri" w:cs="Times New Roman"/>
            <w:color w:val="0000FF"/>
            <w:szCs w:val="18"/>
            <w:u w:val="single"/>
          </w:rPr>
          <w:t>risk evaluations</w:t>
        </w:r>
      </w:hyperlink>
      <w:r w:rsidRPr="002F663C">
        <w:rPr>
          <w:rFonts w:eastAsia="Calibri" w:cs="Times New Roman"/>
          <w:szCs w:val="18"/>
        </w:rPr>
        <w:t xml:space="preserve"> under the Toxic Substances Control Act (</w:t>
      </w:r>
      <w:hyperlink r:id="rId13" w:history="1">
        <w:r w:rsidRPr="002F663C">
          <w:rPr>
            <w:rFonts w:eastAsia="Calibri" w:cs="Times New Roman"/>
            <w:color w:val="0000FF"/>
            <w:szCs w:val="18"/>
            <w:u w:val="single"/>
          </w:rPr>
          <w:t>TSCA</w:t>
        </w:r>
      </w:hyperlink>
      <w:r w:rsidRPr="002F663C">
        <w:rPr>
          <w:rFonts w:eastAsia="Calibri" w:cs="Times New Roman"/>
          <w:szCs w:val="18"/>
        </w:rPr>
        <w:t xml:space="preserve">). The purpose of risk evaluations under TSCA is to determine whether a chemical substance presents an unreasonable risk of injury to health or the environment, without consideration of costs or non-risk factors, including unreasonable risk to potentially exposed or susceptible subpopulations identified as relevant to the risk evaluation by EPA, under the conditions of use. EPA reconsidered the procedural framework rule for conducting such risk evaluations and is revising certain aspects of that framework to better align with the statutory text and applicable court decisions, to reflect the Agency's experience implementing the risk evaluation program following </w:t>
      </w:r>
      <w:r w:rsidRPr="002F663C">
        <w:rPr>
          <w:rFonts w:eastAsia="Calibri" w:cs="Times New Roman"/>
          <w:szCs w:val="18"/>
        </w:rPr>
        <w:lastRenderedPageBreak/>
        <w:t>enactment of the 2016 TSCA amendments, and to allow for consideration of future scientific advances in the risk evaluation process without need to further amend the Agency's procedural rule.</w:t>
      </w:r>
    </w:p>
    <w:p w14:paraId="2501B184" w14:textId="77777777" w:rsidR="009D220D" w:rsidRPr="002F663C" w:rsidRDefault="009B1FBE" w:rsidP="00B16ACF">
      <w:pPr>
        <w:spacing w:before="120" w:after="120"/>
        <w:rPr>
          <w:rFonts w:eastAsia="Calibri" w:cs="Times New Roman"/>
          <w:szCs w:val="18"/>
        </w:rPr>
      </w:pPr>
      <w:r w:rsidRPr="002F663C">
        <w:rPr>
          <w:rFonts w:eastAsia="Calibri" w:cs="Times New Roman"/>
          <w:szCs w:val="18"/>
        </w:rPr>
        <w:t>This final rule is effective on 2 July 2024</w:t>
      </w:r>
    </w:p>
    <w:p w14:paraId="4D03D3D1" w14:textId="77777777" w:rsidR="009D220D" w:rsidRPr="002F663C" w:rsidRDefault="00547B79" w:rsidP="00B16ACF">
      <w:pPr>
        <w:spacing w:before="120" w:after="120"/>
        <w:rPr>
          <w:rFonts w:eastAsia="Calibri" w:cs="Times New Roman"/>
          <w:szCs w:val="18"/>
        </w:rPr>
      </w:pPr>
      <w:hyperlink r:id="rId14" w:history="1">
        <w:r w:rsidR="009B1FBE" w:rsidRPr="002F663C">
          <w:rPr>
            <w:rFonts w:eastAsia="Calibri" w:cs="Times New Roman"/>
            <w:color w:val="0000FF"/>
            <w:szCs w:val="18"/>
            <w:u w:val="single"/>
          </w:rPr>
          <w:t>Title 40 Code of Federal Regulations (CFR) Part 702</w:t>
        </w:r>
      </w:hyperlink>
    </w:p>
    <w:p w14:paraId="26E1E1FA" w14:textId="77777777" w:rsidR="009D220D" w:rsidRPr="002F663C" w:rsidRDefault="009B1FBE"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5" w:history="1">
        <w:r w:rsidRPr="002F663C">
          <w:rPr>
            <w:rFonts w:eastAsia="Calibri" w:cs="Times New Roman"/>
            <w:color w:val="0000FF"/>
            <w:szCs w:val="18"/>
            <w:u w:val="single"/>
          </w:rPr>
          <w:t>G/TBT/N/USA/1276/Rev.1</w:t>
        </w:r>
      </w:hyperlink>
      <w:r w:rsidRPr="002F663C">
        <w:rPr>
          <w:rFonts w:eastAsia="Calibri" w:cs="Times New Roman"/>
          <w:szCs w:val="18"/>
        </w:rPr>
        <w:t xml:space="preserve"> are identified by Docket Number EPA-HQ-OPPT-2023-0496. The Docket Folder is available on Regulations.gov at </w:t>
      </w:r>
      <w:hyperlink r:id="rId16" w:history="1">
        <w:r w:rsidRPr="002F663C">
          <w:rPr>
            <w:rFonts w:eastAsia="Calibri" w:cs="Times New Roman"/>
            <w:color w:val="0000FF"/>
            <w:szCs w:val="18"/>
            <w:u w:val="single"/>
          </w:rPr>
          <w:t>https://www.regulations.gov/docket/EPA-HQ-OPPT-2023-0496/document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42A7009F" w14:textId="77777777" w:rsidR="006C5A96" w:rsidRDefault="009B1FBE" w:rsidP="006C5A96">
      <w:pPr>
        <w:jc w:val="center"/>
        <w:rPr>
          <w:b/>
        </w:rPr>
      </w:pPr>
      <w:r w:rsidRPr="003971FF">
        <w:rPr>
          <w:b/>
        </w:rPr>
        <w:t>__________</w:t>
      </w:r>
    </w:p>
    <w:p w14:paraId="1BCFB492" w14:textId="77777777" w:rsidR="004D4D19" w:rsidRDefault="004D4D19" w:rsidP="007F38C2">
      <w:pPr>
        <w:jc w:val="center"/>
        <w:rPr>
          <w:b/>
        </w:rPr>
      </w:pPr>
    </w:p>
    <w:p w14:paraId="0A4F1298"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C2E2" w14:textId="77777777" w:rsidR="009B1FBE" w:rsidRDefault="009B1FBE">
      <w:r>
        <w:separator/>
      </w:r>
    </w:p>
  </w:endnote>
  <w:endnote w:type="continuationSeparator" w:id="0">
    <w:p w14:paraId="0B90D116" w14:textId="77777777" w:rsidR="009B1FBE" w:rsidRDefault="009B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1F8" w14:textId="77777777" w:rsidR="00544326" w:rsidRPr="00DD3DD7" w:rsidRDefault="009B1FB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3D74" w14:textId="77777777" w:rsidR="00544326" w:rsidRPr="00DD3DD7" w:rsidRDefault="009B1FB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1278" w14:textId="77777777" w:rsidR="000248E6" w:rsidRDefault="009B1FBE" w:rsidP="00ED54E0">
      <w:r>
        <w:separator/>
      </w:r>
    </w:p>
  </w:footnote>
  <w:footnote w:type="continuationSeparator" w:id="0">
    <w:p w14:paraId="05EF12E1" w14:textId="77777777" w:rsidR="000248E6" w:rsidRDefault="009B1FBE" w:rsidP="00ED54E0">
      <w:r>
        <w:continuationSeparator/>
      </w:r>
    </w:p>
  </w:footnote>
  <w:footnote w:id="1">
    <w:p w14:paraId="526C9BA0" w14:textId="77777777" w:rsidR="007F6EA2" w:rsidRDefault="009B1FB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8E9E" w14:textId="77777777" w:rsidR="00DD3DD7" w:rsidRDefault="009B1FB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C811107" w14:textId="77777777" w:rsidR="004D4D19" w:rsidRPr="00DD3DD7" w:rsidRDefault="004D4D19" w:rsidP="00DD3DD7">
    <w:pPr>
      <w:pStyle w:val="Header"/>
      <w:pBdr>
        <w:bottom w:val="single" w:sz="4" w:space="1" w:color="auto"/>
      </w:pBdr>
      <w:tabs>
        <w:tab w:val="clear" w:pos="4513"/>
        <w:tab w:val="clear" w:pos="9027"/>
      </w:tabs>
      <w:jc w:val="center"/>
    </w:pPr>
  </w:p>
  <w:p w14:paraId="4E76F3E9" w14:textId="77777777" w:rsidR="00DD3DD7" w:rsidRPr="00DD3DD7" w:rsidRDefault="009B1FB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4781E9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975B" w14:textId="77777777" w:rsidR="00DD3DD7" w:rsidRPr="00DD3DD7" w:rsidRDefault="009B1FBE" w:rsidP="00DD3DD7">
    <w:pPr>
      <w:pStyle w:val="Header"/>
      <w:pBdr>
        <w:bottom w:val="single" w:sz="4" w:space="1" w:color="auto"/>
      </w:pBdr>
      <w:tabs>
        <w:tab w:val="clear" w:pos="4513"/>
        <w:tab w:val="clear" w:pos="9027"/>
      </w:tabs>
      <w:jc w:val="center"/>
    </w:pPr>
    <w:bookmarkStart w:id="28" w:name="spsSymbolHeader"/>
    <w:r w:rsidRPr="00DD3DD7">
      <w:t>G/TBT/N/USA/1276/Rev.1/Add.1</w:t>
    </w:r>
    <w:bookmarkEnd w:id="28"/>
  </w:p>
  <w:p w14:paraId="05B638BB" w14:textId="77777777" w:rsidR="00DD3DD7" w:rsidRPr="00DD3DD7" w:rsidRDefault="00DD3DD7" w:rsidP="00DD3DD7">
    <w:pPr>
      <w:pStyle w:val="Header"/>
      <w:pBdr>
        <w:bottom w:val="single" w:sz="4" w:space="1" w:color="auto"/>
      </w:pBdr>
      <w:tabs>
        <w:tab w:val="clear" w:pos="4513"/>
        <w:tab w:val="clear" w:pos="9027"/>
      </w:tabs>
      <w:jc w:val="center"/>
    </w:pPr>
  </w:p>
  <w:p w14:paraId="3AAB1A07" w14:textId="77777777" w:rsidR="00DD3DD7" w:rsidRPr="00DD3DD7" w:rsidRDefault="009B1FB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1124BF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2038" w14:paraId="30FC079E" w14:textId="77777777" w:rsidTr="00544326">
      <w:trPr>
        <w:trHeight w:val="240"/>
        <w:jc w:val="center"/>
      </w:trPr>
      <w:tc>
        <w:tcPr>
          <w:tcW w:w="3794" w:type="dxa"/>
          <w:shd w:val="clear" w:color="auto" w:fill="FFFFFF"/>
          <w:tcMar>
            <w:left w:w="108" w:type="dxa"/>
            <w:right w:w="108" w:type="dxa"/>
          </w:tcMar>
          <w:vAlign w:val="center"/>
        </w:tcPr>
        <w:p w14:paraId="31E2B02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08D8A35" w14:textId="77777777" w:rsidR="00ED54E0" w:rsidRPr="00182B84" w:rsidRDefault="009B1FBE" w:rsidP="00425DC5">
          <w:pPr>
            <w:jc w:val="right"/>
            <w:rPr>
              <w:b/>
              <w:color w:val="FF0000"/>
              <w:szCs w:val="16"/>
            </w:rPr>
          </w:pPr>
          <w:r>
            <w:rPr>
              <w:b/>
              <w:color w:val="FF0000"/>
              <w:szCs w:val="16"/>
            </w:rPr>
            <w:t xml:space="preserve"> </w:t>
          </w:r>
        </w:p>
      </w:tc>
    </w:tr>
    <w:tr w:rsidR="002D2038" w14:paraId="36A284D9" w14:textId="77777777" w:rsidTr="00544326">
      <w:trPr>
        <w:trHeight w:val="213"/>
        <w:jc w:val="center"/>
      </w:trPr>
      <w:tc>
        <w:tcPr>
          <w:tcW w:w="3794" w:type="dxa"/>
          <w:vMerge w:val="restart"/>
          <w:shd w:val="clear" w:color="auto" w:fill="FFFFFF"/>
          <w:tcMar>
            <w:left w:w="0" w:type="dxa"/>
            <w:right w:w="0" w:type="dxa"/>
          </w:tcMar>
        </w:tcPr>
        <w:p w14:paraId="4FBD159C" w14:textId="77777777" w:rsidR="00ED54E0" w:rsidRPr="00182B84" w:rsidRDefault="009B1FBE" w:rsidP="00425DC5">
          <w:pPr>
            <w:jc w:val="left"/>
          </w:pPr>
          <w:r w:rsidRPr="00182B84">
            <w:rPr>
              <w:noProof/>
              <w:lang w:val="en-US"/>
            </w:rPr>
            <w:drawing>
              <wp:inline distT="0" distB="0" distL="0" distR="0" wp14:anchorId="482F9559" wp14:editId="648160D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034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F2DA04" w14:textId="77777777" w:rsidR="00ED54E0" w:rsidRPr="00182B84" w:rsidRDefault="00ED54E0" w:rsidP="00425DC5">
          <w:pPr>
            <w:jc w:val="right"/>
            <w:rPr>
              <w:b/>
              <w:szCs w:val="16"/>
            </w:rPr>
          </w:pPr>
        </w:p>
      </w:tc>
    </w:tr>
    <w:tr w:rsidR="002D2038" w14:paraId="4C722727" w14:textId="77777777" w:rsidTr="00544326">
      <w:trPr>
        <w:trHeight w:val="868"/>
        <w:jc w:val="center"/>
      </w:trPr>
      <w:tc>
        <w:tcPr>
          <w:tcW w:w="3794" w:type="dxa"/>
          <w:vMerge/>
          <w:shd w:val="clear" w:color="auto" w:fill="FFFFFF"/>
          <w:tcMar>
            <w:left w:w="108" w:type="dxa"/>
            <w:right w:w="108" w:type="dxa"/>
          </w:tcMar>
        </w:tcPr>
        <w:p w14:paraId="13CF57E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46C991B" w14:textId="77777777" w:rsidR="00DD3DD7" w:rsidRPr="002F663C" w:rsidRDefault="009B1FBE" w:rsidP="00DD3DD7">
          <w:pPr>
            <w:jc w:val="right"/>
            <w:rPr>
              <w:rFonts w:eastAsia="Calibri" w:cs="Times New Roman"/>
              <w:b/>
              <w:szCs w:val="16"/>
            </w:rPr>
          </w:pPr>
          <w:bookmarkStart w:id="29" w:name="bmkSymbols"/>
          <w:r w:rsidRPr="002F663C">
            <w:rPr>
              <w:rFonts w:eastAsia="Calibri" w:cs="Times New Roman"/>
              <w:b/>
              <w:szCs w:val="16"/>
            </w:rPr>
            <w:t>G/TBT/N/USA/1276/Rev.1/Add.1</w:t>
          </w:r>
          <w:bookmarkEnd w:id="29"/>
        </w:p>
        <w:p w14:paraId="253A6645" w14:textId="77777777" w:rsidR="00C14444" w:rsidRPr="00C14444" w:rsidRDefault="00C14444" w:rsidP="00C14444">
          <w:pPr>
            <w:jc w:val="center"/>
            <w:rPr>
              <w:szCs w:val="16"/>
            </w:rPr>
          </w:pPr>
        </w:p>
      </w:tc>
    </w:tr>
    <w:tr w:rsidR="002D2038" w14:paraId="394665DB" w14:textId="77777777" w:rsidTr="00544326">
      <w:trPr>
        <w:trHeight w:val="240"/>
        <w:jc w:val="center"/>
      </w:trPr>
      <w:tc>
        <w:tcPr>
          <w:tcW w:w="3794" w:type="dxa"/>
          <w:vMerge/>
          <w:shd w:val="clear" w:color="auto" w:fill="FFFFFF"/>
          <w:tcMar>
            <w:left w:w="108" w:type="dxa"/>
            <w:right w:w="108" w:type="dxa"/>
          </w:tcMar>
          <w:vAlign w:val="center"/>
        </w:tcPr>
        <w:p w14:paraId="5254E4F3" w14:textId="77777777" w:rsidR="00ED54E0" w:rsidRPr="00182B84" w:rsidRDefault="00ED54E0" w:rsidP="00425DC5"/>
      </w:tc>
      <w:tc>
        <w:tcPr>
          <w:tcW w:w="5448" w:type="dxa"/>
          <w:gridSpan w:val="2"/>
          <w:shd w:val="clear" w:color="auto" w:fill="FFFFFF"/>
          <w:tcMar>
            <w:left w:w="108" w:type="dxa"/>
            <w:right w:w="108" w:type="dxa"/>
          </w:tcMar>
          <w:vAlign w:val="center"/>
        </w:tcPr>
        <w:p w14:paraId="1DE019B1" w14:textId="3022E56F" w:rsidR="00ED54E0" w:rsidRPr="00182B84" w:rsidRDefault="008351FD" w:rsidP="00425DC5">
          <w:pPr>
            <w:jc w:val="right"/>
            <w:rPr>
              <w:szCs w:val="16"/>
            </w:rPr>
          </w:pPr>
          <w:bookmarkStart w:id="30" w:name="bmkDate"/>
          <w:bookmarkEnd w:id="30"/>
          <w:r>
            <w:rPr>
              <w:szCs w:val="16"/>
            </w:rPr>
            <w:t>7 May 2024</w:t>
          </w:r>
        </w:p>
      </w:tc>
    </w:tr>
    <w:tr w:rsidR="002D2038" w14:paraId="1BEDBBF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BE5222" w14:textId="70ADB8F4" w:rsidR="00ED54E0" w:rsidRPr="00182B84" w:rsidRDefault="009B1FBE" w:rsidP="00425DC5">
          <w:pPr>
            <w:jc w:val="left"/>
            <w:rPr>
              <w:b/>
            </w:rPr>
          </w:pPr>
          <w:r w:rsidRPr="002F663C">
            <w:rPr>
              <w:rFonts w:eastAsia="Calibri" w:cs="Times New Roman"/>
              <w:color w:val="FF0000"/>
              <w:szCs w:val="16"/>
            </w:rPr>
            <w:t>(</w:t>
          </w:r>
          <w:bookmarkStart w:id="31" w:name="bmkSerial"/>
          <w:bookmarkEnd w:id="31"/>
          <w:r w:rsidR="008351FD">
            <w:rPr>
              <w:rFonts w:eastAsia="Calibri" w:cs="Times New Roman"/>
              <w:color w:val="FF0000"/>
              <w:szCs w:val="16"/>
            </w:rPr>
            <w:t>24-</w:t>
          </w:r>
          <w:r w:rsidR="00603104">
            <w:rPr>
              <w:rFonts w:eastAsia="Calibri" w:cs="Times New Roman"/>
              <w:color w:val="FF0000"/>
              <w:szCs w:val="16"/>
            </w:rPr>
            <w:t>3627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C61B873" w14:textId="77777777" w:rsidR="00ED54E0" w:rsidRPr="00182B84" w:rsidRDefault="009B1FB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D2038" w14:paraId="7A0C994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4FCDD1" w14:textId="77777777" w:rsidR="00ED54E0" w:rsidRPr="00182B84" w:rsidRDefault="009B1FB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297866C" w14:textId="77777777" w:rsidR="00ED54E0" w:rsidRPr="00182B84" w:rsidRDefault="009B1FB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060190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5678D6">
      <w:start w:val="1"/>
      <w:numFmt w:val="decimal"/>
      <w:pStyle w:val="SummaryText"/>
      <w:lvlText w:val="%1."/>
      <w:lvlJc w:val="left"/>
      <w:pPr>
        <w:ind w:left="360" w:hanging="360"/>
      </w:pPr>
    </w:lvl>
    <w:lvl w:ilvl="1" w:tplc="07B29DB6" w:tentative="1">
      <w:start w:val="1"/>
      <w:numFmt w:val="lowerLetter"/>
      <w:lvlText w:val="%2."/>
      <w:lvlJc w:val="left"/>
      <w:pPr>
        <w:ind w:left="1080" w:hanging="360"/>
      </w:pPr>
    </w:lvl>
    <w:lvl w:ilvl="2" w:tplc="C6F8BD76" w:tentative="1">
      <w:start w:val="1"/>
      <w:numFmt w:val="lowerRoman"/>
      <w:lvlText w:val="%3."/>
      <w:lvlJc w:val="right"/>
      <w:pPr>
        <w:ind w:left="1800" w:hanging="180"/>
      </w:pPr>
    </w:lvl>
    <w:lvl w:ilvl="3" w:tplc="01AC9D74" w:tentative="1">
      <w:start w:val="1"/>
      <w:numFmt w:val="decimal"/>
      <w:lvlText w:val="%4."/>
      <w:lvlJc w:val="left"/>
      <w:pPr>
        <w:ind w:left="2520" w:hanging="360"/>
      </w:pPr>
    </w:lvl>
    <w:lvl w:ilvl="4" w:tplc="FEDE102E" w:tentative="1">
      <w:start w:val="1"/>
      <w:numFmt w:val="lowerLetter"/>
      <w:lvlText w:val="%5."/>
      <w:lvlJc w:val="left"/>
      <w:pPr>
        <w:ind w:left="3240" w:hanging="360"/>
      </w:pPr>
    </w:lvl>
    <w:lvl w:ilvl="5" w:tplc="0AE0955E" w:tentative="1">
      <w:start w:val="1"/>
      <w:numFmt w:val="lowerRoman"/>
      <w:lvlText w:val="%6."/>
      <w:lvlJc w:val="right"/>
      <w:pPr>
        <w:ind w:left="3960" w:hanging="180"/>
      </w:pPr>
    </w:lvl>
    <w:lvl w:ilvl="6" w:tplc="C4C0ACB8" w:tentative="1">
      <w:start w:val="1"/>
      <w:numFmt w:val="decimal"/>
      <w:lvlText w:val="%7."/>
      <w:lvlJc w:val="left"/>
      <w:pPr>
        <w:ind w:left="4680" w:hanging="360"/>
      </w:pPr>
    </w:lvl>
    <w:lvl w:ilvl="7" w:tplc="B0D43620" w:tentative="1">
      <w:start w:val="1"/>
      <w:numFmt w:val="lowerLetter"/>
      <w:lvlText w:val="%8."/>
      <w:lvlJc w:val="left"/>
      <w:pPr>
        <w:ind w:left="5400" w:hanging="360"/>
      </w:pPr>
    </w:lvl>
    <w:lvl w:ilvl="8" w:tplc="F86AA0BE" w:tentative="1">
      <w:start w:val="1"/>
      <w:numFmt w:val="lowerRoman"/>
      <w:lvlText w:val="%9."/>
      <w:lvlJc w:val="right"/>
      <w:pPr>
        <w:ind w:left="6120" w:hanging="180"/>
      </w:pPr>
    </w:lvl>
  </w:abstractNum>
  <w:num w:numId="1" w16cid:durableId="558370635">
    <w:abstractNumId w:val="9"/>
  </w:num>
  <w:num w:numId="2" w16cid:durableId="853418700">
    <w:abstractNumId w:val="7"/>
  </w:num>
  <w:num w:numId="3" w16cid:durableId="692003577">
    <w:abstractNumId w:val="6"/>
  </w:num>
  <w:num w:numId="4" w16cid:durableId="290866376">
    <w:abstractNumId w:val="5"/>
  </w:num>
  <w:num w:numId="5" w16cid:durableId="1750344380">
    <w:abstractNumId w:val="4"/>
  </w:num>
  <w:num w:numId="6" w16cid:durableId="1445467591">
    <w:abstractNumId w:val="12"/>
  </w:num>
  <w:num w:numId="7" w16cid:durableId="1187282757">
    <w:abstractNumId w:val="11"/>
  </w:num>
  <w:num w:numId="8" w16cid:durableId="92820561">
    <w:abstractNumId w:val="10"/>
  </w:num>
  <w:num w:numId="9" w16cid:durableId="1143621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7634099">
    <w:abstractNumId w:val="13"/>
  </w:num>
  <w:num w:numId="11" w16cid:durableId="36899401">
    <w:abstractNumId w:val="8"/>
  </w:num>
  <w:num w:numId="12" w16cid:durableId="648479859">
    <w:abstractNumId w:val="3"/>
  </w:num>
  <w:num w:numId="13" w16cid:durableId="1045176913">
    <w:abstractNumId w:val="2"/>
  </w:num>
  <w:num w:numId="14" w16cid:durableId="2053654030">
    <w:abstractNumId w:val="1"/>
  </w:num>
  <w:num w:numId="15" w16cid:durableId="296184264">
    <w:abstractNumId w:val="0"/>
  </w:num>
  <w:num w:numId="16" w16cid:durableId="111293623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2038"/>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03104"/>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351FD"/>
    <w:rsid w:val="00840C2B"/>
    <w:rsid w:val="008739FD"/>
    <w:rsid w:val="00893E85"/>
    <w:rsid w:val="008A0701"/>
    <w:rsid w:val="008B1018"/>
    <w:rsid w:val="008C42D2"/>
    <w:rsid w:val="008E2C13"/>
    <w:rsid w:val="008E372C"/>
    <w:rsid w:val="00917235"/>
    <w:rsid w:val="009840C1"/>
    <w:rsid w:val="00992AEA"/>
    <w:rsid w:val="009A4D36"/>
    <w:rsid w:val="009A6F54"/>
    <w:rsid w:val="009B1FBE"/>
    <w:rsid w:val="009D220D"/>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D6EB3"/>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a.gov/laws-regulations/summary-toxic-substances-control-ac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pa.gov/assessing-and-managing-chemicals-under-tsca/risk-evaluations-existing-chemicals-under-tsca" TargetMode="External"/><Relationship Id="rId17" Type="http://schemas.openxmlformats.org/officeDocument/2006/relationships/hyperlink" Target="https://www.regulations.gov/" TargetMode="External"/><Relationship Id="rId2" Type="http://schemas.openxmlformats.org/officeDocument/2006/relationships/customXml" Target="../customXml/item2.xml"/><Relationship Id="rId16" Type="http://schemas.openxmlformats.org/officeDocument/2006/relationships/hyperlink" Target="https://www.regulations.gov/docket/EPA-HQ-OPPT-2023-0496/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3115_00_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ing.wto.org/en/Search?domainIds=1&amp;documentSymbol=usa%2F1276%2Frev.1" TargetMode="External"/><Relationship Id="rId23" Type="http://schemas.openxmlformats.org/officeDocument/2006/relationships/fontTable" Target="fontTable.xml"/><Relationship Id="rId10" Type="http://schemas.openxmlformats.org/officeDocument/2006/relationships/hyperlink" Target="https://www.govinfo.gov/content/pkg/FR-2024-05-03/pdf/2024-09417.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govinfo.gov/content/pkg/FR-2024-05-03/html/2024-09417.htm" TargetMode="External"/><Relationship Id="rId14" Type="http://schemas.openxmlformats.org/officeDocument/2006/relationships/hyperlink" Target="https://www.ecfr.gov/current/title-40/chapter-I/subchapter-R/part-70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7118-D7C9-4540-90CE-4BDBD490A61D}">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366</Words>
  <Characters>2317</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2024-05-07T13:34:00Z</dcterms:created>
  <dcterms:modified xsi:type="dcterms:W3CDTF">2024-05-07T14:14:00Z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