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825F" w14:textId="77777777" w:rsidR="002D78C9" w:rsidRDefault="0091029F" w:rsidP="00DD3DD7">
      <w:pPr>
        <w:pStyle w:val="Title"/>
      </w:pPr>
      <w:r w:rsidRPr="002F663C">
        <w:t>NOTIFICATION</w:t>
      </w:r>
    </w:p>
    <w:p w14:paraId="3CB1682E" w14:textId="77777777" w:rsidR="002F663C" w:rsidRPr="002F663C" w:rsidRDefault="0091029F" w:rsidP="00DD3DD7">
      <w:pPr>
        <w:pStyle w:val="Title3"/>
      </w:pPr>
      <w:r w:rsidRPr="002F663C">
        <w:t>Addendum</w:t>
      </w:r>
    </w:p>
    <w:p w14:paraId="7CF6753D" w14:textId="77777777" w:rsidR="002F663C" w:rsidRDefault="0091029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4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5FC9EC6" w14:textId="77777777" w:rsidR="001E2E4A" w:rsidRPr="002F663C" w:rsidRDefault="001E2E4A" w:rsidP="001E2E4A">
      <w:pPr>
        <w:rPr>
          <w:rFonts w:eastAsia="Calibri" w:cs="Times New Roman"/>
        </w:rPr>
      </w:pPr>
    </w:p>
    <w:p w14:paraId="1763BDEA" w14:textId="77777777" w:rsidR="002F663C" w:rsidRPr="002F663C" w:rsidRDefault="0091029F" w:rsidP="002F663C">
      <w:pPr>
        <w:jc w:val="center"/>
        <w:rPr>
          <w:rFonts w:eastAsia="Calibri" w:cs="Times New Roman"/>
          <w:b/>
        </w:rPr>
      </w:pPr>
      <w:r w:rsidRPr="002F663C">
        <w:rPr>
          <w:rFonts w:eastAsia="Calibri" w:cs="Times New Roman"/>
          <w:b/>
        </w:rPr>
        <w:t>_______________</w:t>
      </w:r>
    </w:p>
    <w:p w14:paraId="68798562" w14:textId="77777777" w:rsidR="002F663C" w:rsidRDefault="002F663C" w:rsidP="002F663C">
      <w:pPr>
        <w:rPr>
          <w:rFonts w:eastAsia="Calibri" w:cs="Times New Roman"/>
        </w:rPr>
      </w:pPr>
    </w:p>
    <w:p w14:paraId="18FEF677" w14:textId="77777777" w:rsidR="00C14444" w:rsidRPr="002F663C" w:rsidRDefault="00C14444" w:rsidP="002F663C">
      <w:pPr>
        <w:rPr>
          <w:rFonts w:eastAsia="Calibri" w:cs="Times New Roman"/>
        </w:rPr>
      </w:pPr>
    </w:p>
    <w:p w14:paraId="0842025C" w14:textId="77777777" w:rsidR="002F663C" w:rsidRPr="002F663C" w:rsidRDefault="0091029F"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Standards for Accessible Medical Diagnostic Equipment </w:t>
      </w:r>
      <w:bookmarkEnd w:id="3"/>
      <w:bookmarkEnd w:id="4"/>
    </w:p>
    <w:p w14:paraId="67612FB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D3407" w14:paraId="5FE2BFF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6FF3A5" w14:textId="77777777" w:rsidR="002F663C" w:rsidRPr="002F663C" w:rsidRDefault="0091029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D3407" w14:paraId="06A798EB" w14:textId="77777777" w:rsidTr="00E9471B">
        <w:tc>
          <w:tcPr>
            <w:tcW w:w="851" w:type="dxa"/>
            <w:shd w:val="clear" w:color="auto" w:fill="auto"/>
          </w:tcPr>
          <w:p w14:paraId="18EAEAA1" w14:textId="77777777" w:rsidR="002F663C" w:rsidRPr="00711F9C" w:rsidRDefault="0091029F"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737E70D" w14:textId="77777777" w:rsidR="002F663C" w:rsidRPr="002F663C" w:rsidRDefault="0091029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D3407" w14:paraId="45A02E7B" w14:textId="77777777" w:rsidTr="00E9471B">
        <w:tc>
          <w:tcPr>
            <w:tcW w:w="851" w:type="dxa"/>
            <w:shd w:val="clear" w:color="auto" w:fill="auto"/>
          </w:tcPr>
          <w:p w14:paraId="66A235E0"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7F9CFA7" w14:textId="77777777" w:rsidR="002F663C" w:rsidRPr="002F663C" w:rsidRDefault="009102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6D3407" w14:paraId="7F486006" w14:textId="77777777" w:rsidTr="00E9471B">
        <w:tc>
          <w:tcPr>
            <w:tcW w:w="851" w:type="dxa"/>
            <w:shd w:val="clear" w:color="auto" w:fill="auto"/>
          </w:tcPr>
          <w:p w14:paraId="2D24056B"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9F0A074" w14:textId="77777777" w:rsidR="002F663C" w:rsidRPr="002F663C" w:rsidRDefault="009102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 February 2022</w:t>
            </w:r>
            <w:bookmarkEnd w:id="11"/>
          </w:p>
        </w:tc>
      </w:tr>
      <w:tr w:rsidR="006D3407" w14:paraId="206D0A74" w14:textId="77777777" w:rsidTr="00E9471B">
        <w:tc>
          <w:tcPr>
            <w:tcW w:w="851" w:type="dxa"/>
            <w:shd w:val="clear" w:color="auto" w:fill="auto"/>
          </w:tcPr>
          <w:p w14:paraId="1698B6E0"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BAC6A0A" w14:textId="77777777" w:rsidR="002F663C" w:rsidRPr="002F663C" w:rsidRDefault="009102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 February 2022; This direct final rule is effective 3 February 2022, without further action, unless adverse comment is received by 7 March 2022. If timely adverse comment is received, the Access Board will publish a notification of withdrawal in the Federal Register. Such notification may withdraw the direct final rule in whole or in part.</w:t>
            </w:r>
            <w:bookmarkEnd w:id="13"/>
          </w:p>
        </w:tc>
      </w:tr>
      <w:tr w:rsidR="006D3407" w14:paraId="3F42EDB8" w14:textId="77777777" w:rsidTr="00E9471B">
        <w:tc>
          <w:tcPr>
            <w:tcW w:w="851" w:type="dxa"/>
            <w:shd w:val="clear" w:color="auto" w:fill="auto"/>
          </w:tcPr>
          <w:p w14:paraId="1236D1B2"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C174D10" w14:textId="77777777" w:rsidR="002F663C" w:rsidRPr="002F663C" w:rsidRDefault="0091029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4F44FE2" w14:textId="77777777" w:rsidR="00467A46" w:rsidRDefault="00846302" w:rsidP="00EB7B40">
            <w:pPr>
              <w:spacing w:before="60" w:after="60"/>
              <w:rPr>
                <w:rFonts w:eastAsia="Calibri" w:cs="Times New Roman"/>
              </w:rPr>
            </w:pPr>
            <w:hyperlink r:id="rId8" w:history="1">
              <w:r w:rsidR="0091029F">
                <w:rPr>
                  <w:rFonts w:eastAsia="Calibri" w:cs="Times New Roman"/>
                  <w:color w:val="0000FF"/>
                  <w:u w:val="single"/>
                </w:rPr>
                <w:t>https://www.govinfo.gov/content/pkg/FR-2022-02-03/html/2022-02133.htm</w:t>
              </w:r>
            </w:hyperlink>
          </w:p>
          <w:p w14:paraId="2BA94840" w14:textId="77777777" w:rsidR="00467A46" w:rsidRDefault="00846302" w:rsidP="00EB7B40">
            <w:pPr>
              <w:spacing w:before="60" w:after="60"/>
              <w:rPr>
                <w:rFonts w:eastAsia="Calibri" w:cs="Times New Roman"/>
              </w:rPr>
            </w:pPr>
            <w:hyperlink r:id="rId9" w:history="1">
              <w:r w:rsidR="0091029F">
                <w:rPr>
                  <w:rFonts w:eastAsia="Calibri" w:cs="Times New Roman"/>
                  <w:color w:val="0000FF"/>
                  <w:u w:val="single"/>
                </w:rPr>
                <w:t>https://www.govinfo.gov/content/pkg/FR-2022-02-03/pdf/2022-02133.pdf</w:t>
              </w:r>
            </w:hyperlink>
          </w:p>
          <w:p w14:paraId="18458D1A" w14:textId="77777777" w:rsidR="00467A46" w:rsidRDefault="00846302" w:rsidP="00EB7B40">
            <w:pPr>
              <w:spacing w:before="60" w:after="60"/>
              <w:rPr>
                <w:rFonts w:eastAsia="Calibri" w:cs="Times New Roman"/>
              </w:rPr>
            </w:pPr>
            <w:hyperlink r:id="rId10" w:history="1">
              <w:r w:rsidR="0091029F">
                <w:rPr>
                  <w:rFonts w:eastAsia="Calibri" w:cs="Times New Roman"/>
                  <w:color w:val="0000FF"/>
                  <w:u w:val="single"/>
                </w:rPr>
                <w:t>https://members.wto.org/crnattachments/2022/TBT/USA/final_measure/22_1370_00_e.pdf</w:t>
              </w:r>
            </w:hyperlink>
            <w:bookmarkEnd w:id="16"/>
          </w:p>
        </w:tc>
      </w:tr>
      <w:tr w:rsidR="006D3407" w14:paraId="16EFC245" w14:textId="77777777" w:rsidTr="00E9471B">
        <w:tc>
          <w:tcPr>
            <w:tcW w:w="851" w:type="dxa"/>
            <w:shd w:val="clear" w:color="auto" w:fill="auto"/>
          </w:tcPr>
          <w:p w14:paraId="05A68C6E"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166109B" w14:textId="77777777" w:rsidR="002F663C" w:rsidRPr="002F663C" w:rsidRDefault="0091029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397F070" w14:textId="77777777" w:rsidR="002F663C" w:rsidRPr="002F663C" w:rsidRDefault="0091029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D3407" w14:paraId="75DCF0D6" w14:textId="77777777" w:rsidTr="00E9471B">
        <w:tc>
          <w:tcPr>
            <w:tcW w:w="851" w:type="dxa"/>
            <w:shd w:val="clear" w:color="auto" w:fill="auto"/>
          </w:tcPr>
          <w:p w14:paraId="06FC92C8" w14:textId="77777777" w:rsidR="002F663C" w:rsidRPr="00711F9C" w:rsidRDefault="0091029F"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297C199" w14:textId="77777777" w:rsidR="002F663C" w:rsidRPr="002F663C" w:rsidRDefault="0091029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2EAD43D" w14:textId="77777777" w:rsidR="002F663C" w:rsidRPr="002F663C" w:rsidRDefault="0091029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D3407" w14:paraId="7FCD6709" w14:textId="77777777" w:rsidTr="00E9471B">
        <w:tc>
          <w:tcPr>
            <w:tcW w:w="851" w:type="dxa"/>
            <w:shd w:val="clear" w:color="auto" w:fill="auto"/>
          </w:tcPr>
          <w:p w14:paraId="3810494A" w14:textId="77777777" w:rsidR="002F663C" w:rsidRPr="00711F9C" w:rsidRDefault="0091029F"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3D865FC" w14:textId="77777777" w:rsidR="002F663C" w:rsidRPr="002F663C" w:rsidRDefault="0091029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D3407" w14:paraId="371C0E1E" w14:textId="77777777" w:rsidTr="00E9471B">
        <w:tc>
          <w:tcPr>
            <w:tcW w:w="851" w:type="dxa"/>
            <w:tcBorders>
              <w:bottom w:val="double" w:sz="4" w:space="0" w:color="auto"/>
            </w:tcBorders>
            <w:shd w:val="clear" w:color="auto" w:fill="auto"/>
          </w:tcPr>
          <w:p w14:paraId="05F6B318" w14:textId="77777777" w:rsidR="002F663C" w:rsidRPr="00711F9C" w:rsidRDefault="0091029F"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44145B5" w14:textId="77777777" w:rsidR="002F663C" w:rsidRPr="002F663C" w:rsidRDefault="0091029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A5654D0" w14:textId="77777777" w:rsidR="002F663C" w:rsidRPr="002F663C" w:rsidRDefault="002F663C" w:rsidP="002F663C">
      <w:pPr>
        <w:jc w:val="left"/>
        <w:rPr>
          <w:rFonts w:eastAsia="Calibri" w:cs="Times New Roman"/>
          <w:highlight w:val="yellow"/>
        </w:rPr>
      </w:pPr>
    </w:p>
    <w:p w14:paraId="6D008714" w14:textId="77777777" w:rsidR="003971FF" w:rsidRPr="007F6EA2" w:rsidRDefault="0091029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Standards for Accessible Medical Diagnostic Equipment</w:t>
      </w:r>
    </w:p>
    <w:p w14:paraId="484AEA19" w14:textId="77777777" w:rsidR="00EE3158" w:rsidRPr="002F663C" w:rsidRDefault="0091029F" w:rsidP="00B16ACF">
      <w:pPr>
        <w:spacing w:after="120"/>
        <w:rPr>
          <w:rFonts w:eastAsia="Calibri" w:cs="Times New Roman"/>
          <w:szCs w:val="18"/>
        </w:rPr>
      </w:pPr>
      <w:r w:rsidRPr="002F663C">
        <w:rPr>
          <w:rFonts w:eastAsia="Calibri" w:cs="Times New Roman"/>
          <w:szCs w:val="18"/>
        </w:rPr>
        <w:t>AGENCY: Architectural and Transportation Barriers Compliance Board</w:t>
      </w:r>
    </w:p>
    <w:p w14:paraId="7D03A735" w14:textId="77777777" w:rsidR="00EE3158" w:rsidRPr="002F663C" w:rsidRDefault="0091029F" w:rsidP="00B16ACF">
      <w:pPr>
        <w:spacing w:after="120"/>
        <w:rPr>
          <w:rFonts w:eastAsia="Calibri" w:cs="Times New Roman"/>
          <w:szCs w:val="18"/>
        </w:rPr>
      </w:pPr>
      <w:r w:rsidRPr="002F663C">
        <w:rPr>
          <w:rFonts w:eastAsia="Calibri" w:cs="Times New Roman"/>
          <w:szCs w:val="18"/>
        </w:rPr>
        <w:t>ACTION: Direct final rule</w:t>
      </w:r>
    </w:p>
    <w:p w14:paraId="10328C33" w14:textId="77777777" w:rsidR="00EE3158" w:rsidRPr="002F663C" w:rsidRDefault="0091029F" w:rsidP="00B16ACF">
      <w:pPr>
        <w:spacing w:after="120"/>
        <w:rPr>
          <w:rFonts w:eastAsia="Calibri" w:cs="Times New Roman"/>
          <w:szCs w:val="18"/>
        </w:rPr>
      </w:pPr>
      <w:r w:rsidRPr="002F663C">
        <w:rPr>
          <w:rFonts w:eastAsia="Calibri" w:cs="Times New Roman"/>
          <w:szCs w:val="18"/>
        </w:rPr>
        <w:t>SUMMARY: We, the Architectural and Transportation Barriers Compliance Board (hereafter, "Access Board" or "Board"), are issuing this Direct final rule to extend, for three years, the sunset provisions in the Board's existing accessibility standards for medical diagnostic equipment related to the low-</w:t>
      </w:r>
      <w:r w:rsidRPr="002F663C">
        <w:rPr>
          <w:rFonts w:eastAsia="Calibri" w:cs="Times New Roman"/>
          <w:szCs w:val="18"/>
        </w:rPr>
        <w:lastRenderedPageBreak/>
        <w:t>height specifications for transfer surfaces to provide additional time for research necessary to determine the appropriate, final specification for the low transfer height position. The Access Board is issuing these amendments directly as a final rule because we believe they are noncontroversial, unlikely to receive adverse comment, and will serve the public interest.</w:t>
      </w:r>
    </w:p>
    <w:p w14:paraId="7E394263" w14:textId="77777777" w:rsidR="00EE3158" w:rsidRPr="002F663C" w:rsidRDefault="0091029F" w:rsidP="00B16ACF">
      <w:pPr>
        <w:spacing w:after="120"/>
        <w:rPr>
          <w:rFonts w:eastAsia="Calibri" w:cs="Times New Roman"/>
          <w:szCs w:val="18"/>
        </w:rPr>
      </w:pPr>
      <w:r w:rsidRPr="002F663C">
        <w:rPr>
          <w:rFonts w:eastAsia="Calibri" w:cs="Times New Roman"/>
          <w:szCs w:val="18"/>
        </w:rPr>
        <w:t>DATES: This direct final rule is effective 3 February 2022, without further action, unless adverse comment is received by 7 March 2022. If timely adverse comment is received, the Access Board will publish a notification of withdrawal in the Federal Register. Such notification may withdraw the direct final rule in whole or in part.</w:t>
      </w:r>
    </w:p>
    <w:p w14:paraId="75B4C334" w14:textId="77777777" w:rsidR="00EE3158" w:rsidRPr="002F663C" w:rsidRDefault="0091029F" w:rsidP="00B16ACF">
      <w:pPr>
        <w:spacing w:after="120"/>
        <w:rPr>
          <w:rFonts w:eastAsia="Calibri" w:cs="Times New Roman"/>
          <w:szCs w:val="18"/>
        </w:rPr>
      </w:pPr>
      <w:r w:rsidRPr="002F663C">
        <w:rPr>
          <w:rFonts w:eastAsia="Calibri" w:cs="Times New Roman"/>
          <w:szCs w:val="18"/>
        </w:rPr>
        <w:t xml:space="preserve">This direct final rule is identified by Docket Number ATBCB-2021-0002 and is accessible from Regulations.gov at </w:t>
      </w:r>
      <w:hyperlink r:id="rId11" w:history="1">
        <w:r w:rsidRPr="002F663C">
          <w:rPr>
            <w:rFonts w:eastAsia="Calibri" w:cs="Times New Roman"/>
            <w:color w:val="0000FF"/>
            <w:szCs w:val="18"/>
            <w:u w:val="single"/>
          </w:rPr>
          <w:t>https://www.regulations.gov/document/ATBCB_FRDOC_0001-0139</w:t>
        </w:r>
      </w:hyperlink>
      <w:r w:rsidRPr="002F663C">
        <w:rPr>
          <w:rFonts w:eastAsia="Calibri" w:cs="Times New Roman"/>
          <w:szCs w:val="18"/>
        </w:rPr>
        <w:t>. Comments received, if any, will also be accessible from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w:t>
      </w:r>
      <w:r w:rsidRPr="006A0705">
        <w:rPr>
          <w:rFonts w:eastAsia="Calibri" w:cs="Times New Roman"/>
          <w:szCs w:val="18"/>
        </w:rPr>
        <w:t>Eastern Time</w:t>
      </w:r>
      <w:r w:rsidRPr="002F663C">
        <w:rPr>
          <w:rFonts w:eastAsia="Calibri" w:cs="Times New Roman"/>
          <w:szCs w:val="18"/>
        </w:rPr>
        <w:t> on 7 March 2022. Comments received by the USA TBT Enquiry Point from WTO Members and their stakeholders will be shared with the regulator and will also be submitted to the Docket on Regulations.gov if received within the comment period. </w:t>
      </w:r>
    </w:p>
    <w:p w14:paraId="32B189D1" w14:textId="77777777" w:rsidR="00EE3158" w:rsidRPr="002F663C" w:rsidRDefault="0091029F" w:rsidP="00B16ACF">
      <w:pPr>
        <w:spacing w:after="120"/>
        <w:rPr>
          <w:rFonts w:eastAsia="Calibri" w:cs="Times New Roman"/>
          <w:szCs w:val="18"/>
        </w:rPr>
      </w:pPr>
      <w:r w:rsidRPr="002F663C">
        <w:rPr>
          <w:rFonts w:eastAsia="Calibri" w:cs="Times New Roman"/>
          <w:szCs w:val="18"/>
        </w:rPr>
        <w:t xml:space="preserve">Previous related actions are identified by Docket Number ATBCB-2012-0003. The Docket Folder is available from Regulations.gov at </w:t>
      </w:r>
      <w:hyperlink r:id="rId15" w:history="1">
        <w:r w:rsidRPr="002F663C">
          <w:rPr>
            <w:rFonts w:eastAsia="Calibri" w:cs="Times New Roman"/>
            <w:color w:val="0000FF"/>
            <w:szCs w:val="18"/>
            <w:u w:val="single"/>
          </w:rPr>
          <w:t>https://www.regulations.gov/docket/ATBCB-2012-0003/document</w:t>
        </w:r>
      </w:hyperlink>
      <w:r w:rsidRPr="002F663C">
        <w:rPr>
          <w:rFonts w:eastAsia="Calibri" w:cs="Times New Roman"/>
          <w:szCs w:val="18"/>
        </w:rPr>
        <w:t xml:space="preserve"> and provides access to primary and supporting documents as well as comments received. Documents are also accessible from </w:t>
      </w:r>
      <w:hyperlink r:id="rId16"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6000EE5E" w14:textId="77777777" w:rsidR="006C5A96" w:rsidRDefault="0091029F" w:rsidP="006C5A96">
      <w:pPr>
        <w:jc w:val="center"/>
        <w:rPr>
          <w:b/>
        </w:rPr>
      </w:pPr>
      <w:r w:rsidRPr="003971FF">
        <w:rPr>
          <w:b/>
        </w:rPr>
        <w:t>__________</w:t>
      </w:r>
    </w:p>
    <w:p w14:paraId="1EC56504" w14:textId="77777777" w:rsidR="004D4D19" w:rsidRDefault="004D4D19" w:rsidP="007F38C2">
      <w:pPr>
        <w:jc w:val="center"/>
        <w:rPr>
          <w:b/>
        </w:rPr>
      </w:pPr>
    </w:p>
    <w:p w14:paraId="15C10E44"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CBF1" w14:textId="77777777" w:rsidR="0077621D" w:rsidRDefault="0091029F">
      <w:r>
        <w:separator/>
      </w:r>
    </w:p>
  </w:endnote>
  <w:endnote w:type="continuationSeparator" w:id="0">
    <w:p w14:paraId="317AB52B" w14:textId="77777777" w:rsidR="0077621D" w:rsidRDefault="0091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3658" w14:textId="77777777" w:rsidR="00544326" w:rsidRPr="00DD3DD7" w:rsidRDefault="0091029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C52E" w14:textId="77777777" w:rsidR="00544326" w:rsidRPr="00DD3DD7" w:rsidRDefault="0091029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EA9D" w14:textId="77777777" w:rsidR="00846302" w:rsidRDefault="0084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08F1" w14:textId="77777777" w:rsidR="00BB5622" w:rsidRDefault="0091029F" w:rsidP="00ED54E0">
      <w:r>
        <w:separator/>
      </w:r>
    </w:p>
  </w:footnote>
  <w:footnote w:type="continuationSeparator" w:id="0">
    <w:p w14:paraId="4B7A6D74" w14:textId="77777777" w:rsidR="00BB5622" w:rsidRDefault="0091029F" w:rsidP="00ED54E0">
      <w:r>
        <w:continuationSeparator/>
      </w:r>
    </w:p>
  </w:footnote>
  <w:footnote w:id="1">
    <w:p w14:paraId="7F8C455D" w14:textId="77777777" w:rsidR="007F6EA2" w:rsidRDefault="0091029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8144" w14:textId="77777777" w:rsidR="00DD3DD7" w:rsidRDefault="0091029F" w:rsidP="00DD3DD7">
    <w:pPr>
      <w:pStyle w:val="Header"/>
      <w:pBdr>
        <w:bottom w:val="single" w:sz="4" w:space="1" w:color="auto"/>
      </w:pBdr>
      <w:tabs>
        <w:tab w:val="clear" w:pos="4513"/>
        <w:tab w:val="clear" w:pos="9027"/>
      </w:tabs>
      <w:jc w:val="center"/>
    </w:pPr>
    <w:bookmarkStart w:id="27" w:name="bmkSymbols2"/>
    <w:r>
      <w:t>PROVISIONAL221370</w:t>
    </w:r>
    <w:bookmarkEnd w:id="27"/>
  </w:p>
  <w:p w14:paraId="1F6AFA94" w14:textId="77777777" w:rsidR="004D4D19" w:rsidRPr="00DD3DD7" w:rsidRDefault="004D4D19" w:rsidP="00DD3DD7">
    <w:pPr>
      <w:pStyle w:val="Header"/>
      <w:pBdr>
        <w:bottom w:val="single" w:sz="4" w:space="1" w:color="auto"/>
      </w:pBdr>
      <w:tabs>
        <w:tab w:val="clear" w:pos="4513"/>
        <w:tab w:val="clear" w:pos="9027"/>
      </w:tabs>
      <w:jc w:val="center"/>
    </w:pPr>
  </w:p>
  <w:p w14:paraId="661BB051" w14:textId="77777777" w:rsidR="00DD3DD7" w:rsidRPr="00DD3DD7" w:rsidRDefault="0091029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F48083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F3E8" w14:textId="77777777" w:rsidR="00DD3DD7" w:rsidRPr="0091029F" w:rsidRDefault="0091029F" w:rsidP="00DD3DD7">
    <w:pPr>
      <w:pStyle w:val="Header"/>
      <w:pBdr>
        <w:bottom w:val="single" w:sz="4" w:space="1" w:color="auto"/>
      </w:pBdr>
      <w:tabs>
        <w:tab w:val="clear" w:pos="4513"/>
        <w:tab w:val="clear" w:pos="9027"/>
      </w:tabs>
      <w:jc w:val="center"/>
      <w:rPr>
        <w:lang w:val="es-ES"/>
      </w:rPr>
    </w:pPr>
    <w:bookmarkStart w:id="28" w:name="spsSymbolHeader"/>
    <w:r w:rsidRPr="0091029F">
      <w:rPr>
        <w:lang w:val="es-ES"/>
      </w:rPr>
      <w:t>G/TBT/N/USA/1260/Add.1</w:t>
    </w:r>
    <w:bookmarkEnd w:id="28"/>
  </w:p>
  <w:p w14:paraId="764EC6EC" w14:textId="77777777" w:rsidR="00DD3DD7" w:rsidRPr="0091029F" w:rsidRDefault="00DD3DD7" w:rsidP="00DD3DD7">
    <w:pPr>
      <w:pStyle w:val="Header"/>
      <w:pBdr>
        <w:bottom w:val="single" w:sz="4" w:space="1" w:color="auto"/>
      </w:pBdr>
      <w:tabs>
        <w:tab w:val="clear" w:pos="4513"/>
        <w:tab w:val="clear" w:pos="9027"/>
      </w:tabs>
      <w:jc w:val="center"/>
      <w:rPr>
        <w:lang w:val="es-ES"/>
      </w:rPr>
    </w:pPr>
  </w:p>
  <w:p w14:paraId="47323C0D" w14:textId="77777777" w:rsidR="00DD3DD7" w:rsidRPr="00DD3DD7" w:rsidRDefault="0091029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36A35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3407" w14:paraId="55E14A76" w14:textId="77777777" w:rsidTr="00544326">
      <w:trPr>
        <w:trHeight w:val="240"/>
        <w:jc w:val="center"/>
      </w:trPr>
      <w:tc>
        <w:tcPr>
          <w:tcW w:w="3794" w:type="dxa"/>
          <w:shd w:val="clear" w:color="auto" w:fill="FFFFFF"/>
          <w:tcMar>
            <w:left w:w="108" w:type="dxa"/>
            <w:right w:w="108" w:type="dxa"/>
          </w:tcMar>
          <w:vAlign w:val="center"/>
        </w:tcPr>
        <w:p w14:paraId="7DDD932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6355D9" w14:textId="77777777" w:rsidR="00ED54E0" w:rsidRPr="00182B84" w:rsidRDefault="0091029F" w:rsidP="00425DC5">
          <w:pPr>
            <w:jc w:val="right"/>
            <w:rPr>
              <w:b/>
              <w:color w:val="FF0000"/>
              <w:szCs w:val="16"/>
            </w:rPr>
          </w:pPr>
          <w:r>
            <w:rPr>
              <w:b/>
              <w:color w:val="FF0000"/>
              <w:szCs w:val="16"/>
            </w:rPr>
            <w:t xml:space="preserve"> </w:t>
          </w:r>
        </w:p>
      </w:tc>
    </w:tr>
    <w:tr w:rsidR="006D3407" w14:paraId="6302F728" w14:textId="77777777" w:rsidTr="00544326">
      <w:trPr>
        <w:trHeight w:val="213"/>
        <w:jc w:val="center"/>
      </w:trPr>
      <w:tc>
        <w:tcPr>
          <w:tcW w:w="3794" w:type="dxa"/>
          <w:vMerge w:val="restart"/>
          <w:shd w:val="clear" w:color="auto" w:fill="FFFFFF"/>
          <w:tcMar>
            <w:left w:w="0" w:type="dxa"/>
            <w:right w:w="0" w:type="dxa"/>
          </w:tcMar>
        </w:tcPr>
        <w:p w14:paraId="3EF26889" w14:textId="77777777" w:rsidR="00ED54E0" w:rsidRPr="00182B84" w:rsidRDefault="0091029F" w:rsidP="00425DC5">
          <w:pPr>
            <w:jc w:val="left"/>
          </w:pPr>
          <w:r w:rsidRPr="00182B84">
            <w:rPr>
              <w:noProof/>
              <w:lang w:val="en-US"/>
            </w:rPr>
            <w:drawing>
              <wp:inline distT="0" distB="0" distL="0" distR="0" wp14:anchorId="44E0F641" wp14:editId="0553EBD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539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A1172C" w14:textId="77777777" w:rsidR="00ED54E0" w:rsidRPr="00182B84" w:rsidRDefault="00ED54E0" w:rsidP="00425DC5">
          <w:pPr>
            <w:jc w:val="right"/>
            <w:rPr>
              <w:b/>
              <w:szCs w:val="16"/>
            </w:rPr>
          </w:pPr>
        </w:p>
      </w:tc>
    </w:tr>
    <w:tr w:rsidR="006D3407" w:rsidRPr="00846302" w14:paraId="02E1BF85" w14:textId="77777777" w:rsidTr="00544326">
      <w:trPr>
        <w:trHeight w:val="868"/>
        <w:jc w:val="center"/>
      </w:trPr>
      <w:tc>
        <w:tcPr>
          <w:tcW w:w="3794" w:type="dxa"/>
          <w:vMerge/>
          <w:shd w:val="clear" w:color="auto" w:fill="FFFFFF"/>
          <w:tcMar>
            <w:left w:w="108" w:type="dxa"/>
            <w:right w:w="108" w:type="dxa"/>
          </w:tcMar>
        </w:tcPr>
        <w:p w14:paraId="03D0A34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13D9C3" w14:textId="77777777" w:rsidR="00DD3DD7" w:rsidRPr="0091029F" w:rsidRDefault="0091029F" w:rsidP="00DD3DD7">
          <w:pPr>
            <w:jc w:val="right"/>
            <w:rPr>
              <w:rFonts w:eastAsia="Calibri" w:cs="Times New Roman"/>
              <w:b/>
              <w:szCs w:val="16"/>
              <w:lang w:val="es-ES"/>
            </w:rPr>
          </w:pPr>
          <w:bookmarkStart w:id="29" w:name="bmkSymbols"/>
          <w:r w:rsidRPr="0091029F">
            <w:rPr>
              <w:rFonts w:eastAsia="Calibri" w:cs="Times New Roman"/>
              <w:b/>
              <w:szCs w:val="16"/>
              <w:lang w:val="es-ES"/>
            </w:rPr>
            <w:t>G/TBT/N/USA/1260/Add.1</w:t>
          </w:r>
          <w:bookmarkEnd w:id="29"/>
        </w:p>
        <w:p w14:paraId="72961648" w14:textId="77777777" w:rsidR="00C14444" w:rsidRPr="0091029F" w:rsidRDefault="00C14444" w:rsidP="00C14444">
          <w:pPr>
            <w:jc w:val="center"/>
            <w:rPr>
              <w:szCs w:val="16"/>
              <w:lang w:val="es-ES"/>
            </w:rPr>
          </w:pPr>
        </w:p>
      </w:tc>
    </w:tr>
    <w:tr w:rsidR="006D3407" w:rsidRPr="0091029F" w14:paraId="260B8E5E" w14:textId="77777777" w:rsidTr="00544326">
      <w:trPr>
        <w:trHeight w:val="240"/>
        <w:jc w:val="center"/>
      </w:trPr>
      <w:tc>
        <w:tcPr>
          <w:tcW w:w="3794" w:type="dxa"/>
          <w:vMerge/>
          <w:shd w:val="clear" w:color="auto" w:fill="FFFFFF"/>
          <w:tcMar>
            <w:left w:w="108" w:type="dxa"/>
            <w:right w:w="108" w:type="dxa"/>
          </w:tcMar>
          <w:vAlign w:val="center"/>
        </w:tcPr>
        <w:p w14:paraId="297D126E" w14:textId="77777777" w:rsidR="00ED54E0" w:rsidRPr="0091029F" w:rsidRDefault="00ED54E0" w:rsidP="00425DC5">
          <w:pPr>
            <w:rPr>
              <w:lang w:val="es-ES"/>
            </w:rPr>
          </w:pPr>
        </w:p>
      </w:tc>
      <w:tc>
        <w:tcPr>
          <w:tcW w:w="5448" w:type="dxa"/>
          <w:gridSpan w:val="2"/>
          <w:shd w:val="clear" w:color="auto" w:fill="FFFFFF"/>
          <w:tcMar>
            <w:left w:w="108" w:type="dxa"/>
            <w:right w:w="108" w:type="dxa"/>
          </w:tcMar>
          <w:vAlign w:val="center"/>
        </w:tcPr>
        <w:p w14:paraId="3E38D9E2" w14:textId="0DC7ECAC" w:rsidR="00ED54E0" w:rsidRPr="0091029F" w:rsidRDefault="00846302" w:rsidP="00425DC5">
          <w:pPr>
            <w:jc w:val="right"/>
            <w:rPr>
              <w:szCs w:val="16"/>
              <w:lang w:val="es-ES"/>
            </w:rPr>
          </w:pPr>
          <w:bookmarkStart w:id="30" w:name="bmkDate"/>
          <w:bookmarkEnd w:id="30"/>
          <w:r>
            <w:rPr>
              <w:szCs w:val="16"/>
              <w:lang w:val="es-ES"/>
            </w:rPr>
            <w:t>7</w:t>
          </w:r>
          <w:r w:rsidR="0091029F">
            <w:rPr>
              <w:szCs w:val="16"/>
              <w:lang w:val="es-ES"/>
            </w:rPr>
            <w:t xml:space="preserve"> </w:t>
          </w:r>
          <w:r w:rsidR="0091029F" w:rsidRPr="0091029F">
            <w:rPr>
              <w:szCs w:val="16"/>
            </w:rPr>
            <w:t>February</w:t>
          </w:r>
          <w:r w:rsidR="0091029F">
            <w:rPr>
              <w:szCs w:val="16"/>
              <w:lang w:val="es-ES"/>
            </w:rPr>
            <w:t xml:space="preserve"> 2022</w:t>
          </w:r>
        </w:p>
      </w:tc>
    </w:tr>
    <w:tr w:rsidR="006D3407" w14:paraId="4FD0382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6168C4" w14:textId="0C88A65B" w:rsidR="00ED54E0" w:rsidRPr="00182B84" w:rsidRDefault="0091029F"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073249">
            <w:rPr>
              <w:rFonts w:eastAsia="Calibri" w:cs="Times New Roman"/>
              <w:color w:val="FF0000"/>
              <w:szCs w:val="16"/>
            </w:rPr>
            <w:t>0863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7FCFF05" w14:textId="77777777" w:rsidR="00ED54E0" w:rsidRPr="00182B84" w:rsidRDefault="0091029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D3407" w14:paraId="2D36DEB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075277" w14:textId="77777777" w:rsidR="00ED54E0" w:rsidRPr="00182B84" w:rsidRDefault="0091029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DF36356" w14:textId="77777777" w:rsidR="00ED54E0" w:rsidRPr="00182B84" w:rsidRDefault="0091029F"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D0B08C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CC350E">
      <w:start w:val="1"/>
      <w:numFmt w:val="decimal"/>
      <w:pStyle w:val="SummaryText"/>
      <w:lvlText w:val="%1."/>
      <w:lvlJc w:val="left"/>
      <w:pPr>
        <w:ind w:left="360" w:hanging="360"/>
      </w:pPr>
    </w:lvl>
    <w:lvl w:ilvl="1" w:tplc="D312CFB4" w:tentative="1">
      <w:start w:val="1"/>
      <w:numFmt w:val="lowerLetter"/>
      <w:lvlText w:val="%2."/>
      <w:lvlJc w:val="left"/>
      <w:pPr>
        <w:ind w:left="1080" w:hanging="360"/>
      </w:pPr>
    </w:lvl>
    <w:lvl w:ilvl="2" w:tplc="BCB0458E" w:tentative="1">
      <w:start w:val="1"/>
      <w:numFmt w:val="lowerRoman"/>
      <w:lvlText w:val="%3."/>
      <w:lvlJc w:val="right"/>
      <w:pPr>
        <w:ind w:left="1800" w:hanging="180"/>
      </w:pPr>
    </w:lvl>
    <w:lvl w:ilvl="3" w:tplc="C8DAE56E" w:tentative="1">
      <w:start w:val="1"/>
      <w:numFmt w:val="decimal"/>
      <w:lvlText w:val="%4."/>
      <w:lvlJc w:val="left"/>
      <w:pPr>
        <w:ind w:left="2520" w:hanging="360"/>
      </w:pPr>
    </w:lvl>
    <w:lvl w:ilvl="4" w:tplc="435815FE" w:tentative="1">
      <w:start w:val="1"/>
      <w:numFmt w:val="lowerLetter"/>
      <w:lvlText w:val="%5."/>
      <w:lvlJc w:val="left"/>
      <w:pPr>
        <w:ind w:left="3240" w:hanging="360"/>
      </w:pPr>
    </w:lvl>
    <w:lvl w:ilvl="5" w:tplc="2FFC4268" w:tentative="1">
      <w:start w:val="1"/>
      <w:numFmt w:val="lowerRoman"/>
      <w:lvlText w:val="%6."/>
      <w:lvlJc w:val="right"/>
      <w:pPr>
        <w:ind w:left="3960" w:hanging="180"/>
      </w:pPr>
    </w:lvl>
    <w:lvl w:ilvl="6" w:tplc="F60E3004" w:tentative="1">
      <w:start w:val="1"/>
      <w:numFmt w:val="decimal"/>
      <w:lvlText w:val="%7."/>
      <w:lvlJc w:val="left"/>
      <w:pPr>
        <w:ind w:left="4680" w:hanging="360"/>
      </w:pPr>
    </w:lvl>
    <w:lvl w:ilvl="7" w:tplc="6A56CBEA" w:tentative="1">
      <w:start w:val="1"/>
      <w:numFmt w:val="lowerLetter"/>
      <w:lvlText w:val="%8."/>
      <w:lvlJc w:val="left"/>
      <w:pPr>
        <w:ind w:left="5400" w:hanging="360"/>
      </w:pPr>
    </w:lvl>
    <w:lvl w:ilvl="8" w:tplc="508211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73249"/>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1B5C"/>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0705"/>
    <w:rsid w:val="006B3175"/>
    <w:rsid w:val="006C5A96"/>
    <w:rsid w:val="006D3407"/>
    <w:rsid w:val="006E7D82"/>
    <w:rsid w:val="006F5826"/>
    <w:rsid w:val="00700181"/>
    <w:rsid w:val="00711F9C"/>
    <w:rsid w:val="007141CF"/>
    <w:rsid w:val="0071546B"/>
    <w:rsid w:val="00724E52"/>
    <w:rsid w:val="00745146"/>
    <w:rsid w:val="007577E3"/>
    <w:rsid w:val="00760003"/>
    <w:rsid w:val="00760DB3"/>
    <w:rsid w:val="00771C40"/>
    <w:rsid w:val="007755FC"/>
    <w:rsid w:val="0077621D"/>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46302"/>
    <w:rsid w:val="008739FD"/>
    <w:rsid w:val="00893E85"/>
    <w:rsid w:val="008A0701"/>
    <w:rsid w:val="008B1018"/>
    <w:rsid w:val="008C42D2"/>
    <w:rsid w:val="008E2C13"/>
    <w:rsid w:val="008E372C"/>
    <w:rsid w:val="0091029F"/>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3158"/>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3/html/2022-02133.htm"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ument/ATBCB_FRDOC_0001-01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ulations.gov/docket/ATBCB-2012-0003/document" TargetMode="External"/><Relationship Id="rId23" Type="http://schemas.openxmlformats.org/officeDocument/2006/relationships/fontTable" Target="fontTable.xml"/><Relationship Id="rId10" Type="http://schemas.openxmlformats.org/officeDocument/2006/relationships/hyperlink" Target="https://members.wto.org/crnattachments/2022/TBT/USA/final_measure/22_1370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2-03/pdf/2022-02133.pdf" TargetMode="External"/><Relationship Id="rId14" Type="http://schemas.openxmlformats.org/officeDocument/2006/relationships/hyperlink" Target="https://time.is/ES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2022-02-04T16:31:00Z</dcterms:created>
  <dcterms:modified xsi:type="dcterms:W3CDTF">2022-02-07T14:18:00Z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