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CBB6" w14:textId="77777777" w:rsidR="004E22AE" w:rsidRPr="007C4C36" w:rsidRDefault="0047508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D6BDBCF" w14:textId="77777777" w:rsidR="004E22AE" w:rsidRPr="007C4C36" w:rsidRDefault="0047508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DDC741C" w14:textId="77777777" w:rsidR="007141CF" w:rsidRPr="007C4C36" w:rsidRDefault="00475089" w:rsidP="007C4C36">
      <w:r>
        <w:t xml:space="preserve">The following communication, dated 6 October 2021, is being circulated at the request of the delegation of the </w:t>
      </w:r>
      <w:r>
        <w:rPr>
          <w:u w:val="single"/>
        </w:rPr>
        <w:t>United States of America</w:t>
      </w:r>
      <w:r>
        <w:t>.</w:t>
      </w:r>
      <w:bookmarkStart w:id="1" w:name="bmkChapeau"/>
      <w:bookmarkEnd w:id="1"/>
    </w:p>
    <w:p w14:paraId="5D5F1CD4" w14:textId="77777777" w:rsidR="004E22AE" w:rsidRPr="007C4C36" w:rsidRDefault="004E22AE" w:rsidP="007C4C36"/>
    <w:p w14:paraId="24E1D5DF" w14:textId="77777777" w:rsidR="004E22AE" w:rsidRPr="007C4C36" w:rsidRDefault="0047508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6D69239" w14:textId="77777777" w:rsidR="004E22AE" w:rsidRPr="007C4C36" w:rsidRDefault="004E22AE" w:rsidP="007C4C36"/>
    <w:p w14:paraId="70B44FBF" w14:textId="77777777" w:rsidR="004E22AE" w:rsidRPr="007C4C36" w:rsidRDefault="004E22AE" w:rsidP="007C4C36"/>
    <w:p w14:paraId="506457AF" w14:textId="77777777" w:rsidR="004E22AE" w:rsidRPr="007C4C36" w:rsidRDefault="00475089" w:rsidP="003601C0">
      <w:pPr>
        <w:spacing w:after="120"/>
      </w:pPr>
      <w:r w:rsidRPr="007C4C36">
        <w:rPr>
          <w:u w:val="single"/>
        </w:rPr>
        <w:t xml:space="preserve">Standards Improvement Project-Phase IV </w:t>
      </w:r>
    </w:p>
    <w:p w14:paraId="3484B3CF" w14:textId="77777777" w:rsidR="00DF3051" w:rsidRPr="007C4C36" w:rsidRDefault="00475089" w:rsidP="003601C0">
      <w:pPr>
        <w:spacing w:after="120"/>
      </w:pPr>
      <w:r w:rsidRPr="007C4C36">
        <w:t>TITLE: Incorporation by Reference; Notice of Corrections</w:t>
      </w:r>
    </w:p>
    <w:p w14:paraId="61F2E0DE" w14:textId="77777777" w:rsidR="00DF3051" w:rsidRPr="007C4C36" w:rsidRDefault="00475089" w:rsidP="003601C0">
      <w:pPr>
        <w:spacing w:after="120"/>
      </w:pPr>
      <w:r w:rsidRPr="007C4C36">
        <w:t xml:space="preserve">AGENCY: Occupational Safety and Health Administration (OSHA), </w:t>
      </w:r>
      <w:proofErr w:type="spellStart"/>
      <w:r w:rsidRPr="007C4C36">
        <w:t>Labor</w:t>
      </w:r>
      <w:proofErr w:type="spellEnd"/>
    </w:p>
    <w:p w14:paraId="3DA9883B" w14:textId="77777777" w:rsidR="00DF3051" w:rsidRPr="007C4C36" w:rsidRDefault="00475089" w:rsidP="003601C0">
      <w:pPr>
        <w:spacing w:after="120"/>
      </w:pPr>
      <w:r w:rsidRPr="007C4C36">
        <w:t>ACTION: Final rule; correcting amendments</w:t>
      </w:r>
    </w:p>
    <w:p w14:paraId="2BDC0245" w14:textId="77777777" w:rsidR="00DF3051" w:rsidRPr="007C4C36" w:rsidRDefault="00475089" w:rsidP="003601C0">
      <w:pPr>
        <w:spacing w:after="120"/>
      </w:pPr>
      <w:r w:rsidRPr="007C4C36">
        <w:t>SUMMARY: OSHA is making minor corrections to the Incorporation by Reference (</w:t>
      </w:r>
      <w:proofErr w:type="spellStart"/>
      <w:r w:rsidRPr="007C4C36">
        <w:t>IBR</w:t>
      </w:r>
      <w:proofErr w:type="spellEnd"/>
      <w:r w:rsidRPr="007C4C36">
        <w:t>) section for Maritime due to inadvertent mistakes in three final rules: Updating OSHA Standards Based on National Consensus Standards, Personal Protective Equipment; Updating OSHA Standards Based on National Consensus Standards, Eye and Face Protection; and Standards Improvement Project-Phase IV. The notice also updates contact information for a government agency and consensus organizations in the Incorporation by Reference section and adjusts the codification to meet Office of the Federal Register requirements.</w:t>
      </w:r>
    </w:p>
    <w:p w14:paraId="324FEBCE" w14:textId="77777777" w:rsidR="00DF3051" w:rsidRPr="007C4C36" w:rsidRDefault="00475089" w:rsidP="003601C0">
      <w:pPr>
        <w:spacing w:after="120"/>
      </w:pPr>
      <w:r w:rsidRPr="007C4C36">
        <w:t>Effective 4 October 2021.</w:t>
      </w:r>
    </w:p>
    <w:p w14:paraId="3F161667" w14:textId="77777777" w:rsidR="00DF3051" w:rsidRPr="007C4C36" w:rsidRDefault="00475089" w:rsidP="003601C0">
      <w:pPr>
        <w:spacing w:after="120"/>
      </w:pPr>
      <w:r w:rsidRPr="007C4C36">
        <w:t xml:space="preserve">This final rule; correcting amendments and previous actions notified under the symbol </w:t>
      </w:r>
      <w:hyperlink r:id="rId7" w:tgtFrame="_blank" w:history="1">
        <w:r w:rsidRPr="007C4C36">
          <w:rPr>
            <w:color w:val="0000FF"/>
            <w:u w:val="single"/>
          </w:rPr>
          <w:t>G/TBT/N/USA/1241</w:t>
        </w:r>
      </w:hyperlink>
      <w:r w:rsidRPr="007C4C36">
        <w:t xml:space="preserve"> are identified by Docket Number OSHA-2012-0007. The Docket Folder is available on Regulations.gov at </w:t>
      </w:r>
      <w:hyperlink r:id="rId8" w:tgtFrame="_blank" w:history="1">
        <w:r w:rsidRPr="007C4C36">
          <w:rPr>
            <w:color w:val="0000FF"/>
            <w:u w:val="single"/>
          </w:rPr>
          <w:t>https://www.regulations.gov/docket/OSHA-2012-0007/document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9" w:tgtFrame="_blank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</w:p>
    <w:p w14:paraId="4D663BB8" w14:textId="77777777" w:rsidR="004E22AE" w:rsidRPr="007C4C36" w:rsidRDefault="00947B05" w:rsidP="003601C0">
      <w:pPr>
        <w:spacing w:after="120"/>
      </w:pPr>
      <w:hyperlink r:id="rId10" w:history="1">
        <w:r w:rsidR="00475089" w:rsidRPr="007C4C36">
          <w:rPr>
            <w:color w:val="0000FF"/>
            <w:u w:val="single"/>
          </w:rPr>
          <w:t>https://www.govinfo.gov/content/pkg/FR-2021-10-04/html/2021-20099.htm</w:t>
        </w:r>
      </w:hyperlink>
      <w:r w:rsidR="00475089" w:rsidRPr="007C4C36">
        <w:t xml:space="preserve"> </w:t>
      </w:r>
      <w:hyperlink r:id="rId11" w:history="1">
        <w:r w:rsidR="00475089" w:rsidRPr="007C4C36">
          <w:rPr>
            <w:color w:val="0000FF"/>
            <w:u w:val="single"/>
          </w:rPr>
          <w:t>https://www.govinfo.gov/content/pkg/FR-2021-10-04/pdf/2021-20099.pdf</w:t>
        </w:r>
      </w:hyperlink>
      <w:r w:rsidR="00475089" w:rsidRPr="007C4C36">
        <w:t xml:space="preserve"> </w:t>
      </w:r>
      <w:hyperlink r:id="rId12" w:history="1">
        <w:r w:rsidR="00475089" w:rsidRPr="007C4C36">
          <w:rPr>
            <w:color w:val="0000FF"/>
            <w:u w:val="single"/>
          </w:rPr>
          <w:t>https://members.wto.org/crnattachments/2021/TBT/USA/21_6428_00_e.pdf</w:t>
        </w:r>
      </w:hyperlink>
      <w:bookmarkStart w:id="2" w:name="spsMeasureAddress"/>
      <w:bookmarkEnd w:id="2"/>
    </w:p>
    <w:p w14:paraId="660DD490" w14:textId="77777777" w:rsidR="004E22AE" w:rsidRPr="007C4C36" w:rsidRDefault="0047508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405E7" w14:textId="77777777" w:rsidR="00872287" w:rsidRDefault="00475089">
      <w:r>
        <w:separator/>
      </w:r>
    </w:p>
  </w:endnote>
  <w:endnote w:type="continuationSeparator" w:id="0">
    <w:p w14:paraId="038D0812" w14:textId="77777777" w:rsidR="00872287" w:rsidRDefault="004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941C9" w14:textId="77777777" w:rsidR="004E22AE" w:rsidRPr="007C4C36" w:rsidRDefault="0047508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5A81" w14:textId="77777777" w:rsidR="004E22AE" w:rsidRPr="007C4C36" w:rsidRDefault="0047508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CAAA" w14:textId="77777777" w:rsidR="00DF3F8A" w:rsidRPr="007C4C36" w:rsidRDefault="0047508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08688" w14:textId="77777777" w:rsidR="00872287" w:rsidRDefault="00475089">
      <w:r>
        <w:separator/>
      </w:r>
    </w:p>
  </w:footnote>
  <w:footnote w:type="continuationSeparator" w:id="0">
    <w:p w14:paraId="33FE7AC2" w14:textId="77777777" w:rsidR="00872287" w:rsidRDefault="0047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69FF7" w14:textId="77777777" w:rsidR="004E22AE" w:rsidRPr="007C4C36" w:rsidRDefault="0047508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5CB37B0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83B380" w14:textId="77777777" w:rsidR="004E22AE" w:rsidRPr="007C4C36" w:rsidRDefault="0047508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38A2E4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A807" w14:textId="77777777" w:rsidR="004E22AE" w:rsidRPr="007C4C36" w:rsidRDefault="0047508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EADE40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124920" w14:textId="77777777" w:rsidR="004E22AE" w:rsidRPr="007C4C36" w:rsidRDefault="0047508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88BFCE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1DCB" w14:paraId="01C5FC0F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8E7FF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FB0FE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D81DCB" w14:paraId="6962290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6381A0" w14:textId="77777777" w:rsidR="00ED54E0" w:rsidRPr="004E22AE" w:rsidRDefault="0047508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0DE99C" wp14:editId="48C805E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37681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70971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D81DCB" w:rsidRPr="00475089" w14:paraId="46AA1972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C9DD3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CF8EE7" w14:textId="77777777" w:rsidR="00ED54E0" w:rsidRPr="00475089" w:rsidRDefault="00475089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475089">
            <w:rPr>
              <w:b/>
              <w:szCs w:val="16"/>
              <w:lang w:val="es-ES"/>
            </w:rPr>
            <w:t>G/TBT/N/USA/1241/Add.2/Corr.1</w:t>
          </w:r>
          <w:bookmarkEnd w:id="4"/>
        </w:p>
      </w:tc>
    </w:tr>
    <w:tr w:rsidR="00D81DCB" w:rsidRPr="00475089" w14:paraId="03A5F006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F08FA" w14:textId="77777777" w:rsidR="00ED54E0" w:rsidRPr="00475089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81B24" w14:textId="666D7B8F" w:rsidR="00ED54E0" w:rsidRPr="00475089" w:rsidRDefault="00475089" w:rsidP="000F4B07">
          <w:pPr>
            <w:jc w:val="right"/>
            <w:rPr>
              <w:szCs w:val="16"/>
              <w:lang w:val="es-ES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  <w:lang w:val="es-ES"/>
            </w:rPr>
            <w:t xml:space="preserve">6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2021</w:t>
          </w:r>
        </w:p>
      </w:tc>
    </w:tr>
    <w:tr w:rsidR="00D81DCB" w14:paraId="7C0B1848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F5D5A6" w14:textId="4320ED18" w:rsidR="00ED54E0" w:rsidRPr="004E22AE" w:rsidRDefault="00475089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947B05">
            <w:rPr>
              <w:color w:val="FF0000"/>
              <w:szCs w:val="16"/>
            </w:rPr>
            <w:t>7511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11EF02" w14:textId="77777777" w:rsidR="00ED54E0" w:rsidRPr="004E22AE" w:rsidRDefault="00475089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D81DCB" w14:paraId="1C18D69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AF8C53" w14:textId="77777777" w:rsidR="00ED54E0" w:rsidRPr="004E22AE" w:rsidRDefault="00475089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A723E4" w14:textId="77777777" w:rsidR="00ED54E0" w:rsidRPr="007C4C36" w:rsidRDefault="00475089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7FEC5283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5245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AC73D0" w:tentative="1">
      <w:start w:val="1"/>
      <w:numFmt w:val="lowerLetter"/>
      <w:lvlText w:val="%2."/>
      <w:lvlJc w:val="left"/>
      <w:pPr>
        <w:ind w:left="1080" w:hanging="360"/>
      </w:pPr>
    </w:lvl>
    <w:lvl w:ilvl="2" w:tplc="904C49DE" w:tentative="1">
      <w:start w:val="1"/>
      <w:numFmt w:val="lowerRoman"/>
      <w:lvlText w:val="%3."/>
      <w:lvlJc w:val="right"/>
      <w:pPr>
        <w:ind w:left="1800" w:hanging="180"/>
      </w:pPr>
    </w:lvl>
    <w:lvl w:ilvl="3" w:tplc="390CDF9E" w:tentative="1">
      <w:start w:val="1"/>
      <w:numFmt w:val="decimal"/>
      <w:lvlText w:val="%4."/>
      <w:lvlJc w:val="left"/>
      <w:pPr>
        <w:ind w:left="2520" w:hanging="360"/>
      </w:pPr>
    </w:lvl>
    <w:lvl w:ilvl="4" w:tplc="63EA71F0" w:tentative="1">
      <w:start w:val="1"/>
      <w:numFmt w:val="lowerLetter"/>
      <w:lvlText w:val="%5."/>
      <w:lvlJc w:val="left"/>
      <w:pPr>
        <w:ind w:left="3240" w:hanging="360"/>
      </w:pPr>
    </w:lvl>
    <w:lvl w:ilvl="5" w:tplc="9404FA74" w:tentative="1">
      <w:start w:val="1"/>
      <w:numFmt w:val="lowerRoman"/>
      <w:lvlText w:val="%6."/>
      <w:lvlJc w:val="right"/>
      <w:pPr>
        <w:ind w:left="3960" w:hanging="180"/>
      </w:pPr>
    </w:lvl>
    <w:lvl w:ilvl="6" w:tplc="F9745E52" w:tentative="1">
      <w:start w:val="1"/>
      <w:numFmt w:val="decimal"/>
      <w:lvlText w:val="%7."/>
      <w:lvlJc w:val="left"/>
      <w:pPr>
        <w:ind w:left="4680" w:hanging="360"/>
      </w:pPr>
    </w:lvl>
    <w:lvl w:ilvl="7" w:tplc="EE4A17C2" w:tentative="1">
      <w:start w:val="1"/>
      <w:numFmt w:val="lowerLetter"/>
      <w:lvlText w:val="%8."/>
      <w:lvlJc w:val="left"/>
      <w:pPr>
        <w:ind w:left="5400" w:hanging="360"/>
      </w:pPr>
    </w:lvl>
    <w:lvl w:ilvl="8" w:tplc="E92AB7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75089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2287"/>
    <w:rsid w:val="008739FD"/>
    <w:rsid w:val="00881D34"/>
    <w:rsid w:val="00893E85"/>
    <w:rsid w:val="008A68FB"/>
    <w:rsid w:val="008D0A7A"/>
    <w:rsid w:val="008E372C"/>
    <w:rsid w:val="00947B05"/>
    <w:rsid w:val="009A6F54"/>
    <w:rsid w:val="00A177F1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81DCB"/>
    <w:rsid w:val="00D9226C"/>
    <w:rsid w:val="00DA20BD"/>
    <w:rsid w:val="00DE21EF"/>
    <w:rsid w:val="00DE50DB"/>
    <w:rsid w:val="00DF3051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A6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docket/OSHA-2012-0007/docume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btims.wto.org/en/Notifications/Search?ProductsCoveredHSCodes=&amp;ProductsCoveredICSCodes=&amp;DoSearch=True&amp;ExpandSearchMoreFields=False&amp;NotifyingMember=&amp;DocumentSymbol=usa%2F1241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12" Type="http://schemas.openxmlformats.org/officeDocument/2006/relationships/hyperlink" Target="https://members.wto.org/crnattachments/2021/TBT/USA/21_6428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1-10-04/pdf/2021-2009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info.gov/content/pkg/FR-2021-10-04/html/2021-20099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2021-10-06T12:39:00Z</dcterms:created>
  <dcterms:modified xsi:type="dcterms:W3CDTF">2021-10-06T13:12:00Z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