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3AB5" w14:textId="77777777" w:rsidR="009239F7" w:rsidRPr="002F6A28" w:rsidRDefault="00661E7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8BE29DE" w14:textId="77777777" w:rsidR="009239F7" w:rsidRPr="002F6A28" w:rsidRDefault="00661E7E" w:rsidP="002F6A28">
      <w:pPr>
        <w:jc w:val="center"/>
      </w:pPr>
      <w:r w:rsidRPr="002F6A28">
        <w:t>The following notification is being circulated in accordance with Article 10.6</w:t>
      </w:r>
    </w:p>
    <w:p w14:paraId="2258E3A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D3A91" w14:paraId="6081E70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721FB0C" w14:textId="77777777" w:rsidR="00F85C99" w:rsidRPr="002F6A28" w:rsidRDefault="00661E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DA8C77C" w14:textId="77777777" w:rsidR="00F85C99" w:rsidRPr="002F6A28" w:rsidRDefault="00661E7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TRINIDAD AND TOBAGO</w:t>
            </w:r>
            <w:bookmarkEnd w:id="1"/>
          </w:p>
          <w:p w14:paraId="4EF9CEDE" w14:textId="77777777" w:rsidR="00F85C99" w:rsidRPr="002F6A28" w:rsidRDefault="00661E7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D3A91" w14:paraId="119D59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7C85C" w14:textId="77777777" w:rsidR="00F85C99" w:rsidRPr="002F6A28" w:rsidRDefault="00661E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E57B3" w14:textId="77777777" w:rsidR="00F85C99" w:rsidRPr="002F6A28" w:rsidRDefault="00661E7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D17459E" w14:textId="77777777" w:rsidR="00EE3A11" w:rsidRPr="00C379C8" w:rsidRDefault="00661E7E" w:rsidP="00155128">
            <w:r w:rsidRPr="00C379C8">
              <w:t>Trinidad and Tobago Bureau of Standards</w:t>
            </w:r>
          </w:p>
          <w:p w14:paraId="10D6A534" w14:textId="77777777" w:rsidR="00EE3A11" w:rsidRPr="00C379C8" w:rsidRDefault="00661E7E" w:rsidP="00155128">
            <w:r w:rsidRPr="00C379C8">
              <w:t>1-2 Century Drive Trincity Industrial Estate</w:t>
            </w:r>
          </w:p>
          <w:p w14:paraId="158C7776" w14:textId="77777777" w:rsidR="00EE3A11" w:rsidRPr="00C379C8" w:rsidRDefault="00661E7E" w:rsidP="00155128">
            <w:r w:rsidRPr="00C379C8">
              <w:t>Macoya, Tunapuna</w:t>
            </w:r>
          </w:p>
          <w:p w14:paraId="48CFACDA" w14:textId="77777777" w:rsidR="00EE3A11" w:rsidRPr="00C379C8" w:rsidRDefault="00661E7E" w:rsidP="00155128">
            <w:proofErr w:type="gramStart"/>
            <w:r w:rsidRPr="00C379C8">
              <w:t>Tel :</w:t>
            </w:r>
            <w:proofErr w:type="gramEnd"/>
            <w:r w:rsidRPr="00C379C8">
              <w:t xml:space="preserve"> 868-662-8827</w:t>
            </w:r>
          </w:p>
          <w:p w14:paraId="62270FDE" w14:textId="77777777" w:rsidR="00EE3A11" w:rsidRPr="00C379C8" w:rsidRDefault="00661E7E" w:rsidP="00155128">
            <w:r w:rsidRPr="00C379C8">
              <w:t>Fax: 868-663-4335</w:t>
            </w:r>
          </w:p>
          <w:p w14:paraId="0F98AE57" w14:textId="77777777" w:rsidR="00EE3A11" w:rsidRPr="00C379C8" w:rsidRDefault="00661E7E" w:rsidP="00155128"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ttbs@ttbs.org.tt</w:t>
              </w:r>
            </w:hyperlink>
          </w:p>
          <w:p w14:paraId="6F64E84A" w14:textId="77777777" w:rsidR="00EE3A11" w:rsidRPr="00C379C8" w:rsidRDefault="00661E7E" w:rsidP="00155128">
            <w:pPr>
              <w:spacing w:after="120"/>
            </w:pPr>
            <w:r w:rsidRPr="00C379C8">
              <w:t xml:space="preserve">Website: </w:t>
            </w:r>
            <w:hyperlink r:id="rId9" w:history="1">
              <w:r w:rsidRPr="008D189B">
                <w:rPr>
                  <w:rStyle w:val="Hyperlink"/>
                </w:rPr>
                <w:t>www.gottbs.com</w:t>
              </w:r>
            </w:hyperlink>
            <w:bookmarkEnd w:id="5"/>
            <w:r>
              <w:t xml:space="preserve"> </w:t>
            </w:r>
          </w:p>
          <w:p w14:paraId="0D3050ED" w14:textId="77777777" w:rsidR="00F85C99" w:rsidRPr="002F6A28" w:rsidRDefault="00661E7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D3A91" w14:paraId="7AAD69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6058D" w14:textId="77777777" w:rsidR="00F85C99" w:rsidRPr="002F6A28" w:rsidRDefault="00661E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FE47D" w14:textId="77777777" w:rsidR="00F85C99" w:rsidRPr="0058336F" w:rsidRDefault="00661E7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D3A91" w14:paraId="78D979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E6DCA" w14:textId="77777777" w:rsidR="00F85C99" w:rsidRPr="002F6A28" w:rsidRDefault="00661E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6DA16" w14:textId="77777777" w:rsidR="00F85C99" w:rsidRPr="002F6A28" w:rsidRDefault="00661E7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Paint ingredients in general (ICS code(s): 87.060.01)</w:t>
            </w:r>
            <w:bookmarkEnd w:id="22"/>
          </w:p>
        </w:tc>
      </w:tr>
      <w:tr w:rsidR="007D3A91" w14:paraId="3C3EC6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73D35" w14:textId="77777777" w:rsidR="00F85C99" w:rsidRPr="002F6A28" w:rsidRDefault="00661E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3F870" w14:textId="77777777" w:rsidR="00F85C99" w:rsidRPr="002F6A28" w:rsidRDefault="00661E7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Paints - Water-borne and solvent-borne coatings - Compulsory requirements; (14 page(s), in English)</w:t>
            </w:r>
            <w:bookmarkEnd w:id="24"/>
          </w:p>
        </w:tc>
      </w:tr>
      <w:tr w:rsidR="007D3A91" w14:paraId="5603C8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0E960" w14:textId="77777777" w:rsidR="00F85C99" w:rsidRPr="002F6A28" w:rsidRDefault="00661E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5EBD4" w14:textId="77777777" w:rsidR="00F85C99" w:rsidRPr="002F6A28" w:rsidRDefault="00661E7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standard establishes chemical and labelling requirements for water-borne and solvent-borne coatings for use in Trinidad and Tobago.</w:t>
            </w:r>
          </w:p>
          <w:p w14:paraId="369509B2" w14:textId="77777777" w:rsidR="00FE448B" w:rsidRPr="00C379C8" w:rsidRDefault="00661E7E" w:rsidP="002F6A28">
            <w:pPr>
              <w:spacing w:before="120" w:after="120"/>
            </w:pPr>
            <w:r w:rsidRPr="00C379C8">
              <w:t>This standard applies to packaged coatings including decorative and architectural coatings, untinted bases, primers intended for use on interior and exterior surfaces and coatings tinted at the point of sale.</w:t>
            </w:r>
          </w:p>
          <w:p w14:paraId="0EA1B7CD" w14:textId="77777777" w:rsidR="00FE448B" w:rsidRPr="00C379C8" w:rsidRDefault="00661E7E" w:rsidP="002F6A28">
            <w:pPr>
              <w:spacing w:before="120" w:after="120"/>
            </w:pPr>
            <w:r w:rsidRPr="00C379C8">
              <w:t>This standard is applicable to liquid and aerosol coatings including emulsion, latex, water-soluble, water-</w:t>
            </w:r>
            <w:proofErr w:type="gramStart"/>
            <w:r w:rsidRPr="00C379C8">
              <w:t>dispersible</w:t>
            </w:r>
            <w:proofErr w:type="gramEnd"/>
            <w:r w:rsidRPr="00C379C8">
              <w:t xml:space="preserve"> or colloidal coatings, coatings with alkyd and modified alkyd resins and textured coatings.</w:t>
            </w:r>
          </w:p>
          <w:p w14:paraId="6D14E78C" w14:textId="77777777" w:rsidR="00FE448B" w:rsidRPr="00C379C8" w:rsidRDefault="00661E7E" w:rsidP="002F6A28">
            <w:pPr>
              <w:spacing w:before="120" w:after="120"/>
            </w:pPr>
            <w:r w:rsidRPr="00C379C8">
              <w:t>This standard does not apply to stains, varnishes, putties, glazing compounds, lacquers, and industrial protective coatings.</w:t>
            </w:r>
            <w:bookmarkEnd w:id="26"/>
          </w:p>
        </w:tc>
      </w:tr>
      <w:tr w:rsidR="007D3A91" w14:paraId="48C42E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F97F1" w14:textId="77777777" w:rsidR="00F85C99" w:rsidRPr="002F6A28" w:rsidRDefault="00661E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4D7B6" w14:textId="77777777" w:rsidR="00F85C99" w:rsidRPr="002F6A28" w:rsidRDefault="00661E7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Protection of the environment</w:t>
            </w:r>
            <w:bookmarkEnd w:id="28"/>
          </w:p>
        </w:tc>
      </w:tr>
      <w:tr w:rsidR="007D3A91" w14:paraId="28AC59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4EFA1" w14:textId="77777777" w:rsidR="00F85C99" w:rsidRPr="002F6A28" w:rsidRDefault="00661E7E" w:rsidP="00661E7E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9B5F3" w14:textId="77777777" w:rsidR="00072B36" w:rsidRPr="002F6A28" w:rsidRDefault="00661E7E" w:rsidP="00661E7E">
            <w:pPr>
              <w:keepNext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DB6098A" w14:textId="77777777" w:rsidR="00F85C99" w:rsidRPr="002F6A28" w:rsidRDefault="00661E7E" w:rsidP="00661E7E">
            <w:pPr>
              <w:keepNext/>
              <w:spacing w:before="120" w:after="120"/>
            </w:pPr>
            <w:bookmarkStart w:id="30" w:name="sps9a"/>
            <w:r w:rsidRPr="002F6A28">
              <w:t>The following are the normative references:</w:t>
            </w:r>
          </w:p>
          <w:p w14:paraId="1B98B9F1" w14:textId="77777777" w:rsidR="00F85C99" w:rsidRPr="002F6A28" w:rsidRDefault="00661E7E" w:rsidP="00661E7E">
            <w:pPr>
              <w:keepNext/>
              <w:spacing w:before="120" w:after="120"/>
            </w:pPr>
            <w:r w:rsidRPr="002F6A28">
              <w:rPr>
                <w:b/>
                <w:bCs/>
              </w:rPr>
              <w:t>ASTM International</w:t>
            </w:r>
          </w:p>
          <w:p w14:paraId="4D221EFA" w14:textId="77777777" w:rsidR="00F85C99" w:rsidRPr="002F6A28" w:rsidRDefault="00661E7E" w:rsidP="00661E7E">
            <w:pPr>
              <w:keepNext/>
              <w:spacing w:before="120" w:after="120"/>
            </w:pPr>
            <w:r w:rsidRPr="002F6A28">
              <w:t>ASTM D3335</w:t>
            </w:r>
            <w:r w:rsidRPr="002F6A28">
              <w:rPr>
                <w:i/>
                <w:iCs/>
              </w:rPr>
              <w:t>, Standard Test Method for Low Concentrations of Lead, Cadmium, and Cobalt in Paint by Atomic Absorption Spectroscopy</w:t>
            </w:r>
          </w:p>
          <w:p w14:paraId="310B4127" w14:textId="77777777" w:rsidR="00F85C99" w:rsidRPr="002F6A28" w:rsidRDefault="00661E7E" w:rsidP="00661E7E">
            <w:pPr>
              <w:keepNext/>
              <w:spacing w:before="120" w:after="120"/>
            </w:pPr>
            <w:r w:rsidRPr="002F6A28">
              <w:t xml:space="preserve">ASTM D3960, </w:t>
            </w:r>
            <w:r w:rsidRPr="002F6A28">
              <w:rPr>
                <w:i/>
                <w:iCs/>
              </w:rPr>
              <w:t>Standard Practice for Determining Volatile Organic Compound (VOC) Content of Paints and Related Coatings</w:t>
            </w:r>
          </w:p>
          <w:p w14:paraId="17CF30F7" w14:textId="77777777" w:rsidR="00F85C99" w:rsidRPr="002F6A28" w:rsidRDefault="00661E7E" w:rsidP="00661E7E">
            <w:pPr>
              <w:keepNext/>
              <w:spacing w:before="120" w:after="120"/>
            </w:pPr>
            <w:r w:rsidRPr="002F6A28">
              <w:rPr>
                <w:b/>
                <w:bCs/>
              </w:rPr>
              <w:t>International Organization for Standardization</w:t>
            </w:r>
          </w:p>
          <w:p w14:paraId="02962543" w14:textId="77777777" w:rsidR="00F85C99" w:rsidRPr="002F6A28" w:rsidRDefault="00661E7E" w:rsidP="00661E7E">
            <w:pPr>
              <w:keepNext/>
              <w:spacing w:before="120" w:after="120"/>
            </w:pPr>
            <w:r w:rsidRPr="002F6A28">
              <w:t xml:space="preserve">ISO 6503, </w:t>
            </w:r>
            <w:r w:rsidRPr="002F6A28">
              <w:rPr>
                <w:i/>
                <w:iCs/>
              </w:rPr>
              <w:t xml:space="preserve">Paints and varnishes – Determination of total lead – Flame atomic absorption spectrometric </w:t>
            </w:r>
            <w:proofErr w:type="gramStart"/>
            <w:r w:rsidRPr="002F6A28">
              <w:rPr>
                <w:i/>
                <w:iCs/>
              </w:rPr>
              <w:t>method</w:t>
            </w:r>
            <w:proofErr w:type="gramEnd"/>
          </w:p>
          <w:p w14:paraId="5520314A" w14:textId="77777777" w:rsidR="00F85C99" w:rsidRPr="002F6A28" w:rsidRDefault="00661E7E" w:rsidP="00661E7E">
            <w:pPr>
              <w:keepNext/>
              <w:spacing w:before="120" w:after="120"/>
            </w:pPr>
            <w:r w:rsidRPr="002F6A28">
              <w:t xml:space="preserve">ISO 11890-1, </w:t>
            </w:r>
            <w:proofErr w:type="gramStart"/>
            <w:r w:rsidRPr="002F6A28">
              <w:rPr>
                <w:i/>
                <w:iCs/>
              </w:rPr>
              <w:t>Paints</w:t>
            </w:r>
            <w:proofErr w:type="gramEnd"/>
            <w:r w:rsidRPr="002F6A28">
              <w:rPr>
                <w:i/>
                <w:iCs/>
              </w:rPr>
              <w:t xml:space="preserve"> and varnishes – Determination of volatile organic compound (VOC) content – Part 1: Difference method</w:t>
            </w:r>
          </w:p>
          <w:p w14:paraId="4F0FB555" w14:textId="77777777" w:rsidR="00F85C99" w:rsidRPr="002F6A28" w:rsidRDefault="00661E7E" w:rsidP="00661E7E">
            <w:pPr>
              <w:keepNext/>
              <w:spacing w:before="120" w:after="120"/>
            </w:pPr>
            <w:r w:rsidRPr="002F6A28">
              <w:t xml:space="preserve">ISO 11890-2, </w:t>
            </w:r>
            <w:proofErr w:type="gramStart"/>
            <w:r w:rsidRPr="002F6A28">
              <w:rPr>
                <w:i/>
                <w:iCs/>
              </w:rPr>
              <w:t>Paints</w:t>
            </w:r>
            <w:proofErr w:type="gramEnd"/>
            <w:r w:rsidRPr="002F6A28">
              <w:rPr>
                <w:i/>
                <w:iCs/>
              </w:rPr>
              <w:t xml:space="preserve"> and varnishes -- Determination of volatile organic compound (VOC) content -- Part 2: Gas-chromatographic method</w:t>
            </w:r>
            <w:bookmarkEnd w:id="30"/>
          </w:p>
        </w:tc>
      </w:tr>
      <w:tr w:rsidR="007D3A91" w14:paraId="512855E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D3CAB" w14:textId="77777777" w:rsidR="00EE3A11" w:rsidRPr="002F6A28" w:rsidRDefault="00661E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D5DF1" w14:textId="77777777" w:rsidR="00EE3A11" w:rsidRPr="002F6A28" w:rsidRDefault="00661E7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7B4996BA" w14:textId="77777777" w:rsidR="00EE3A11" w:rsidRPr="002F6A28" w:rsidRDefault="00661E7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7D3A91" w14:paraId="09ABAE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47455" w14:textId="77777777" w:rsidR="00F85C99" w:rsidRPr="002F6A28" w:rsidRDefault="00661E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FAC8E" w14:textId="77777777" w:rsidR="00F85C99" w:rsidRPr="002F6A28" w:rsidRDefault="00661E7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D3A91" w14:paraId="4037DC3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A63D216" w14:textId="77777777" w:rsidR="00F85C99" w:rsidRPr="002F6A28" w:rsidRDefault="00661E7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27F4ABF" w14:textId="77777777" w:rsidR="00F85C99" w:rsidRPr="002F6A28" w:rsidRDefault="00661E7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8633011" w14:textId="77777777" w:rsidR="00EE3A11" w:rsidRPr="00A12DDE" w:rsidRDefault="00F44E67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661E7E" w:rsidRPr="00A12DDE">
                <w:rPr>
                  <w:bCs/>
                  <w:color w:val="0000FF"/>
                  <w:u w:val="single"/>
                </w:rPr>
                <w:t>https://members.wto.org/crnattachments/2023/TBT/TTO/23_11969_00_e.pdf</w:t>
              </w:r>
            </w:hyperlink>
            <w:bookmarkEnd w:id="42"/>
          </w:p>
        </w:tc>
      </w:tr>
    </w:tbl>
    <w:p w14:paraId="3A08D565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182C" w14:textId="77777777" w:rsidR="002A13F9" w:rsidRDefault="00661E7E">
      <w:r>
        <w:separator/>
      </w:r>
    </w:p>
  </w:endnote>
  <w:endnote w:type="continuationSeparator" w:id="0">
    <w:p w14:paraId="321799E9" w14:textId="77777777" w:rsidR="002A13F9" w:rsidRDefault="006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4443" w14:textId="77777777" w:rsidR="009239F7" w:rsidRPr="002F6A28" w:rsidRDefault="00661E7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6CD5" w14:textId="77777777" w:rsidR="009239F7" w:rsidRPr="002F6A28" w:rsidRDefault="00661E7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5DF0" w14:textId="77777777" w:rsidR="00EE3A11" w:rsidRPr="002F6A28" w:rsidRDefault="00661E7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86F2" w14:textId="77777777" w:rsidR="002A13F9" w:rsidRDefault="00661E7E">
      <w:r>
        <w:separator/>
      </w:r>
    </w:p>
  </w:footnote>
  <w:footnote w:type="continuationSeparator" w:id="0">
    <w:p w14:paraId="38FFBDF7" w14:textId="77777777" w:rsidR="002A13F9" w:rsidRDefault="0066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6BE2" w14:textId="77777777" w:rsidR="009239F7" w:rsidRPr="002F6A28" w:rsidRDefault="00661E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385A6E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60B1AD" w14:textId="77777777" w:rsidR="009239F7" w:rsidRPr="002F6A28" w:rsidRDefault="00661E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D8D17C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B21F" w14:textId="77777777" w:rsidR="009239F7" w:rsidRPr="002F6A28" w:rsidRDefault="00661E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G/TBT/N/TTO/138</w:t>
    </w:r>
    <w:bookmarkEnd w:id="43"/>
  </w:p>
  <w:p w14:paraId="60C8390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41E091" w14:textId="77777777" w:rsidR="009239F7" w:rsidRPr="002F6A28" w:rsidRDefault="00661E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6511F0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3A91" w14:paraId="4FD4C28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54E6E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2C26A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D3A91" w14:paraId="2C6FD76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382677" w14:textId="77777777" w:rsidR="00ED54E0" w:rsidRPr="009239F7" w:rsidRDefault="00661E7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4BA6AEC" wp14:editId="5EA4C2A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23803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28772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D3A91" w14:paraId="4E989C2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A85CB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F9DCCE" w14:textId="77777777" w:rsidR="009239F7" w:rsidRPr="002F6A28" w:rsidRDefault="00661E7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G/TBT/N/TTO/138</w:t>
          </w:r>
          <w:bookmarkEnd w:id="45"/>
        </w:p>
      </w:tc>
    </w:tr>
    <w:tr w:rsidR="007D3A91" w14:paraId="7E6AE3D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AAA14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F96A2B" w14:textId="7D8998BE" w:rsidR="00ED54E0" w:rsidRPr="009239F7" w:rsidRDefault="007C0E8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24 August 2023</w:t>
          </w:r>
        </w:p>
      </w:tc>
    </w:tr>
    <w:tr w:rsidR="007D3A91" w14:paraId="792DFB6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B472DE" w14:textId="384F995D" w:rsidR="00ED54E0" w:rsidRPr="009239F7" w:rsidRDefault="00661E7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7C0E83">
            <w:rPr>
              <w:color w:val="FF0000"/>
              <w:szCs w:val="16"/>
            </w:rPr>
            <w:t>23-</w:t>
          </w:r>
          <w:r w:rsidR="00F44E67">
            <w:rPr>
              <w:color w:val="FF0000"/>
              <w:szCs w:val="16"/>
            </w:rPr>
            <w:t>5678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A7A9E8" w14:textId="77777777" w:rsidR="00ED54E0" w:rsidRPr="009239F7" w:rsidRDefault="00661E7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D3A91" w14:paraId="595F1E4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127B40" w14:textId="77777777" w:rsidR="00ED54E0" w:rsidRPr="009239F7" w:rsidRDefault="00661E7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0F488E" w14:textId="77777777" w:rsidR="00ED54E0" w:rsidRPr="002F6A28" w:rsidRDefault="00661E7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118F6C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2E72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66CB70" w:tentative="1">
      <w:start w:val="1"/>
      <w:numFmt w:val="lowerLetter"/>
      <w:lvlText w:val="%2."/>
      <w:lvlJc w:val="left"/>
      <w:pPr>
        <w:ind w:left="1080" w:hanging="360"/>
      </w:pPr>
    </w:lvl>
    <w:lvl w:ilvl="2" w:tplc="1FC0843C" w:tentative="1">
      <w:start w:val="1"/>
      <w:numFmt w:val="lowerRoman"/>
      <w:lvlText w:val="%3."/>
      <w:lvlJc w:val="right"/>
      <w:pPr>
        <w:ind w:left="1800" w:hanging="180"/>
      </w:pPr>
    </w:lvl>
    <w:lvl w:ilvl="3" w:tplc="6E9CC310" w:tentative="1">
      <w:start w:val="1"/>
      <w:numFmt w:val="decimal"/>
      <w:lvlText w:val="%4."/>
      <w:lvlJc w:val="left"/>
      <w:pPr>
        <w:ind w:left="2520" w:hanging="360"/>
      </w:pPr>
    </w:lvl>
    <w:lvl w:ilvl="4" w:tplc="D5549D6C" w:tentative="1">
      <w:start w:val="1"/>
      <w:numFmt w:val="lowerLetter"/>
      <w:lvlText w:val="%5."/>
      <w:lvlJc w:val="left"/>
      <w:pPr>
        <w:ind w:left="3240" w:hanging="360"/>
      </w:pPr>
    </w:lvl>
    <w:lvl w:ilvl="5" w:tplc="D6A4EB36" w:tentative="1">
      <w:start w:val="1"/>
      <w:numFmt w:val="lowerRoman"/>
      <w:lvlText w:val="%6."/>
      <w:lvlJc w:val="right"/>
      <w:pPr>
        <w:ind w:left="3960" w:hanging="180"/>
      </w:pPr>
    </w:lvl>
    <w:lvl w:ilvl="6" w:tplc="F84E5CFC" w:tentative="1">
      <w:start w:val="1"/>
      <w:numFmt w:val="decimal"/>
      <w:lvlText w:val="%7."/>
      <w:lvlJc w:val="left"/>
      <w:pPr>
        <w:ind w:left="4680" w:hanging="360"/>
      </w:pPr>
    </w:lvl>
    <w:lvl w:ilvl="7" w:tplc="8A963550" w:tentative="1">
      <w:start w:val="1"/>
      <w:numFmt w:val="lowerLetter"/>
      <w:lvlText w:val="%8."/>
      <w:lvlJc w:val="left"/>
      <w:pPr>
        <w:ind w:left="5400" w:hanging="360"/>
      </w:pPr>
    </w:lvl>
    <w:lvl w:ilvl="8" w:tplc="B8260F0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3513208">
    <w:abstractNumId w:val="9"/>
  </w:num>
  <w:num w:numId="2" w16cid:durableId="846481670">
    <w:abstractNumId w:val="7"/>
  </w:num>
  <w:num w:numId="3" w16cid:durableId="249627291">
    <w:abstractNumId w:val="6"/>
  </w:num>
  <w:num w:numId="4" w16cid:durableId="323555528">
    <w:abstractNumId w:val="5"/>
  </w:num>
  <w:num w:numId="5" w16cid:durableId="1078359820">
    <w:abstractNumId w:val="4"/>
  </w:num>
  <w:num w:numId="6" w16cid:durableId="1242181269">
    <w:abstractNumId w:val="12"/>
  </w:num>
  <w:num w:numId="7" w16cid:durableId="1397050928">
    <w:abstractNumId w:val="11"/>
  </w:num>
  <w:num w:numId="8" w16cid:durableId="107166791">
    <w:abstractNumId w:val="10"/>
  </w:num>
  <w:num w:numId="9" w16cid:durableId="139738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7081002">
    <w:abstractNumId w:val="13"/>
  </w:num>
  <w:num w:numId="11" w16cid:durableId="1007054961">
    <w:abstractNumId w:val="8"/>
  </w:num>
  <w:num w:numId="12" w16cid:durableId="1975674184">
    <w:abstractNumId w:val="3"/>
  </w:num>
  <w:num w:numId="13" w16cid:durableId="1120418663">
    <w:abstractNumId w:val="2"/>
  </w:num>
  <w:num w:numId="14" w16cid:durableId="1980376444">
    <w:abstractNumId w:val="1"/>
  </w:num>
  <w:num w:numId="15" w16cid:durableId="140583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F1573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A13F9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A483B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1E7E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C0E83"/>
    <w:rsid w:val="007D20BB"/>
    <w:rsid w:val="007D3A91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189B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1ABC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4E67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0D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0F1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bs@ttbs.org.t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TTO/23_11969_00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ttbs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cf3ac1c6-4754-4238-88f9-a8758098866d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67DF0AF-1A70-470B-9AC6-56A8E894A6B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431</Words>
  <Characters>2677</Characters>
  <Application>Microsoft Office Word</Application>
  <DocSecurity>0</DocSecurity>
  <Lines>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2023-08-24T09:32:00Z</dcterms:created>
  <dcterms:modified xsi:type="dcterms:W3CDTF">2023-08-24T09:56:00Z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cf3ac1c6-4754-4238-88f9-a8758098866d</vt:lpwstr>
  </property>
  <property fmtid="{D5CDD505-2E9C-101B-9397-08002B2CF9AE}" pid="4" name="WTOCLASSIFICATION">
    <vt:lpwstr>WTO OFFICIAL</vt:lpwstr>
  </property>
</Properties>
</file>