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63B9" w14:textId="77777777" w:rsidR="009239F7" w:rsidRPr="002F6A28" w:rsidRDefault="00A84216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0535C45" w14:textId="77777777" w:rsidR="009239F7" w:rsidRPr="002F6A28" w:rsidRDefault="00A84216" w:rsidP="002F6A28">
      <w:pPr>
        <w:jc w:val="center"/>
      </w:pPr>
      <w:r w:rsidRPr="002F6A28">
        <w:t>The following notification is being circulated in accordance with Article 10.6</w:t>
      </w:r>
    </w:p>
    <w:p w14:paraId="19076F0E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12FD9" w14:paraId="00B8C8D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D3C1F79" w14:textId="77777777" w:rsidR="00F85C99" w:rsidRPr="002F6A28" w:rsidRDefault="00A842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6905063" w14:textId="77777777" w:rsidR="00F85C99" w:rsidRPr="002F6A28" w:rsidRDefault="00A8421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Thailand</w:t>
            </w:r>
            <w:bookmarkEnd w:id="1"/>
            <w:r w:rsidRPr="002F6A28">
              <w:t xml:space="preserve"> </w:t>
            </w:r>
          </w:p>
          <w:p w14:paraId="3968B371" w14:textId="77777777" w:rsidR="00F85C99" w:rsidRPr="002F6A28" w:rsidRDefault="00A8421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12FD9" w14:paraId="44A0932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DFBA8" w14:textId="77777777" w:rsidR="00F85C99" w:rsidRPr="002F6A28" w:rsidRDefault="00A842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AC392B" w14:textId="77777777" w:rsidR="00F85C99" w:rsidRPr="002F6A28" w:rsidRDefault="00A8421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  <w:r w:rsidRPr="002F6A28">
              <w:t>Thai Industrial Standards Institute (TISI), Ministry of Industry</w:t>
            </w:r>
            <w:bookmarkEnd w:id="5"/>
          </w:p>
          <w:p w14:paraId="0F1A0376" w14:textId="77777777" w:rsidR="00F85C99" w:rsidRPr="002F6A28" w:rsidRDefault="00A8421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74037B5D" w14:textId="77777777" w:rsidR="006039B5" w:rsidRPr="002F6A28" w:rsidRDefault="00A84216" w:rsidP="00AA646C">
            <w:pPr>
              <w:spacing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  <w:bookmarkEnd w:id="7"/>
          </w:p>
        </w:tc>
      </w:tr>
      <w:tr w:rsidR="00E12FD9" w14:paraId="7539E8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9F617" w14:textId="77777777" w:rsidR="00F85C99" w:rsidRPr="002F6A28" w:rsidRDefault="00A842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2AFAA" w14:textId="77777777" w:rsidR="00F85C99" w:rsidRPr="0058336F" w:rsidRDefault="00A8421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E12FD9" w14:paraId="67BE89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954A26" w14:textId="77777777" w:rsidR="00F85C99" w:rsidRPr="002F6A28" w:rsidRDefault="00A842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A7D86" w14:textId="77777777" w:rsidR="00F85C99" w:rsidRPr="002F6A28" w:rsidRDefault="00A84216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Motorcycles and mopeds (ICS 43.140)</w:t>
            </w:r>
            <w:bookmarkStart w:id="20" w:name="sps3a"/>
            <w:bookmarkEnd w:id="20"/>
          </w:p>
        </w:tc>
      </w:tr>
      <w:tr w:rsidR="00E12FD9" w14:paraId="5714636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22566" w14:textId="77777777" w:rsidR="00F85C99" w:rsidRPr="002F6A28" w:rsidRDefault="00A8421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81728D" w14:textId="77777777" w:rsidR="00F85C99" w:rsidRPr="002F6A28" w:rsidRDefault="00A84216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Draft Ministerial Regulation on Motorcycle Exhaust Muffler's Part (TIS 3226 - 25XX(20XX)) (6 page(s), in Thai)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E12FD9" w14:paraId="04D1BE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36AB54" w14:textId="77777777" w:rsidR="00F85C99" w:rsidRPr="002F6A28" w:rsidRDefault="00A842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79CD9" w14:textId="77777777" w:rsidR="00F85C99" w:rsidRPr="002F6A28" w:rsidRDefault="00A8421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The draft ministerial regulation mandates motorcycle exhaust muffler's part to conform with the standard for Motorcycle Exhaust Muffler's Part (TIS 3226 - 25XX(20XX)).</w:t>
            </w:r>
          </w:p>
          <w:p w14:paraId="3C28D074" w14:textId="77777777" w:rsidR="00FE448B" w:rsidRPr="00C379C8" w:rsidRDefault="00A84216" w:rsidP="002F6A28">
            <w:pPr>
              <w:spacing w:before="120" w:after="120"/>
            </w:pPr>
            <w:r w:rsidRPr="00C379C8">
              <w:t>This draft standard covers only motorcycle exhaust muffler's part, including exhaust pipe, exhaust manifold and exhaust silencer, of motorcycle category L</w:t>
            </w:r>
            <w:r w:rsidRPr="00C379C8">
              <w:rPr>
                <w:vertAlign w:val="subscript"/>
              </w:rPr>
              <w:t>3</w:t>
            </w:r>
            <w:r w:rsidRPr="00C379C8">
              <w:t xml:space="preserve"> L</w:t>
            </w:r>
            <w:r w:rsidRPr="00C379C8">
              <w:rPr>
                <w:vertAlign w:val="subscript"/>
              </w:rPr>
              <w:t>4</w:t>
            </w:r>
            <w:r w:rsidRPr="00C379C8">
              <w:t xml:space="preserve"> and L</w:t>
            </w:r>
            <w:r w:rsidRPr="00C379C8">
              <w:rPr>
                <w:vertAlign w:val="subscript"/>
              </w:rPr>
              <w:t>5</w:t>
            </w:r>
            <w:r w:rsidRPr="00C379C8">
              <w:t>. It specifies general requirements, materials, marking and labelling, sampling and criteria for conformity, and testing.</w:t>
            </w:r>
            <w:bookmarkStart w:id="26" w:name="sps6a"/>
            <w:bookmarkEnd w:id="26"/>
          </w:p>
        </w:tc>
      </w:tr>
      <w:tr w:rsidR="00E12FD9" w14:paraId="2342F6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8B9342" w14:textId="77777777" w:rsidR="00F85C99" w:rsidRPr="002F6A28" w:rsidRDefault="00A842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9D4A94" w14:textId="77777777" w:rsidR="00F85C99" w:rsidRPr="002F6A28" w:rsidRDefault="00A8421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Prevention of deceptive practices and consumer protection; Protection of human health or safety</w:t>
            </w:r>
            <w:bookmarkStart w:id="28" w:name="sps7f"/>
            <w:bookmarkEnd w:id="28"/>
          </w:p>
        </w:tc>
      </w:tr>
      <w:tr w:rsidR="00E12FD9" w14:paraId="6EA11B3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71ACF" w14:textId="77777777" w:rsidR="00F85C99" w:rsidRPr="002F6A28" w:rsidRDefault="00A8421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CC6BA3" w14:textId="77777777" w:rsidR="00072B36" w:rsidRPr="002F6A28" w:rsidRDefault="00A8421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14A3065" w14:textId="77777777" w:rsidR="006039B5" w:rsidRPr="002F6A28" w:rsidRDefault="00A8421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Notification of the Ministry of Natural Resources and Environment B.E. 2563 (2020) Re: Setting up motorcycle noise standard</w:t>
            </w:r>
          </w:p>
          <w:p w14:paraId="562F66E9" w14:textId="77777777" w:rsidR="006039B5" w:rsidRPr="002F6A28" w:rsidRDefault="00A8421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340 - 2528 : Exhaust system for car, bus and truck</w:t>
            </w:r>
          </w:p>
          <w:p w14:paraId="738BD8C6" w14:textId="77777777" w:rsidR="006039B5" w:rsidRPr="002F6A28" w:rsidRDefault="00A8421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TIS 341 - 2564 : Motorcycle exhaust muffler</w:t>
            </w:r>
          </w:p>
          <w:p w14:paraId="570825DB" w14:textId="77777777" w:rsidR="006039B5" w:rsidRPr="002F6A28" w:rsidRDefault="00A84216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TIS 2355 - 2560 : Noise emissions of motor cycles</w:t>
            </w:r>
          </w:p>
        </w:tc>
      </w:tr>
      <w:tr w:rsidR="00E12FD9" w14:paraId="0688E601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D48CC" w14:textId="77777777" w:rsidR="00EE3A11" w:rsidRPr="002F6A28" w:rsidRDefault="00A842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E88DB" w14:textId="77777777" w:rsidR="00EE3A11" w:rsidRPr="002F6A28" w:rsidRDefault="00A84216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r w:rsidRPr="002F6A28">
              <w:t>To be determined</w:t>
            </w:r>
            <w:bookmarkEnd w:id="32"/>
          </w:p>
          <w:p w14:paraId="58D53617" w14:textId="77777777" w:rsidR="00EE3A11" w:rsidRPr="002F6A28" w:rsidRDefault="00A84216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2F6A28">
              <w:t>To be determined</w:t>
            </w:r>
            <w:bookmarkEnd w:id="35"/>
          </w:p>
        </w:tc>
      </w:tr>
      <w:tr w:rsidR="00E12FD9" w14:paraId="145553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EC5914" w14:textId="77777777" w:rsidR="00F85C99" w:rsidRPr="002F6A28" w:rsidRDefault="00A8421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22E42" w14:textId="77777777" w:rsidR="00F85C99" w:rsidRPr="002F6A28" w:rsidRDefault="00A84216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Not applied</w:t>
            </w:r>
            <w:bookmarkStart w:id="37" w:name="sps12a"/>
            <w:bookmarkEnd w:id="37"/>
          </w:p>
        </w:tc>
      </w:tr>
      <w:tr w:rsidR="00E12FD9" w14:paraId="34D2D91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86682DB" w14:textId="77777777" w:rsidR="00F85C99" w:rsidRPr="002F6A28" w:rsidRDefault="00A8421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B6DA88" w14:textId="77777777" w:rsidR="00F85C99" w:rsidRPr="002F6A28" w:rsidRDefault="00A84216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24EA7E7B" w14:textId="77777777" w:rsidR="006039B5" w:rsidRPr="002F6A28" w:rsidRDefault="00A84216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 and Notification Authority</w:t>
            </w:r>
            <w:r w:rsidRPr="002F6A28">
              <w:br/>
              <w:t xml:space="preserve">Thai Industrial Standards Institute (TISI), Ministry of Industry </w:t>
            </w:r>
            <w:r w:rsidRPr="002F6A28">
              <w:br/>
              <w:t xml:space="preserve">Tel.: (662) 202 3504, 202 3523 </w:t>
            </w:r>
            <w:r w:rsidRPr="002F6A28">
              <w:br/>
              <w:t xml:space="preserve">Fax: (662) 202 3511, 354 3041 </w:t>
            </w:r>
            <w:r w:rsidRPr="002F6A28">
              <w:br/>
              <w:t xml:space="preserve">E-mail: </w:t>
            </w:r>
            <w:hyperlink r:id="rId9" w:history="1">
              <w:r w:rsidRPr="002F6A28">
                <w:rPr>
                  <w:color w:val="0000FF"/>
                  <w:u w:val="single"/>
                </w:rPr>
                <w:t>thaitbt@tisi.mail.go.th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http://www.tisi.go.th</w:t>
              </w:r>
            </w:hyperlink>
          </w:p>
          <w:p w14:paraId="5302FDE3" w14:textId="77777777" w:rsidR="006039B5" w:rsidRPr="002F6A28" w:rsidRDefault="00E31353" w:rsidP="00B16145">
            <w:pPr>
              <w:keepNext/>
              <w:keepLines/>
              <w:spacing w:before="120" w:after="120"/>
            </w:pPr>
            <w:hyperlink r:id="rId11" w:history="1">
              <w:r w:rsidR="00A84216" w:rsidRPr="002F6A28">
                <w:rPr>
                  <w:color w:val="0000FF"/>
                  <w:u w:val="single"/>
                </w:rPr>
                <w:t>https://members.wto.org/crnattachments/2021/TBT/THA/21_6650_00_x.pdf</w:t>
              </w:r>
            </w:hyperlink>
            <w:bookmarkEnd w:id="41"/>
          </w:p>
        </w:tc>
      </w:tr>
    </w:tbl>
    <w:p w14:paraId="17DE0E5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13C378" w14:textId="77777777" w:rsidR="001E7502" w:rsidRDefault="00A84216">
      <w:r>
        <w:separator/>
      </w:r>
    </w:p>
  </w:endnote>
  <w:endnote w:type="continuationSeparator" w:id="0">
    <w:p w14:paraId="48E2AA90" w14:textId="77777777" w:rsidR="001E7502" w:rsidRDefault="00A84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6FE81C" w14:textId="77777777" w:rsidR="009239F7" w:rsidRPr="002F6A28" w:rsidRDefault="00A84216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35068" w14:textId="77777777" w:rsidR="009239F7" w:rsidRPr="002F6A28" w:rsidRDefault="00A84216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2D61D" w14:textId="77777777" w:rsidR="00EE3A11" w:rsidRPr="002F6A28" w:rsidRDefault="00A84216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9A734" w14:textId="77777777" w:rsidR="001E7502" w:rsidRDefault="00A84216">
      <w:r>
        <w:separator/>
      </w:r>
    </w:p>
  </w:footnote>
  <w:footnote w:type="continuationSeparator" w:id="0">
    <w:p w14:paraId="1240C9D5" w14:textId="77777777" w:rsidR="001E7502" w:rsidRDefault="00A84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F7A48" w14:textId="77777777" w:rsidR="009239F7" w:rsidRPr="002F6A28" w:rsidRDefault="00A8421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BA313D1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3C15E9" w14:textId="77777777" w:rsidR="009239F7" w:rsidRPr="002F6A28" w:rsidRDefault="00A8421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E217571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3E205" w14:textId="77777777" w:rsidR="009239F7" w:rsidRPr="002F6A28" w:rsidRDefault="00A8421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G/TBT/N/THA/638</w:t>
    </w:r>
    <w:bookmarkEnd w:id="42"/>
  </w:p>
  <w:p w14:paraId="47D2B215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06A86A" w14:textId="77777777" w:rsidR="009239F7" w:rsidRPr="002F6A28" w:rsidRDefault="00A84216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F77F414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12FD9" w14:paraId="4D678F8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EECA767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DEE798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E12FD9" w14:paraId="7AB21938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8F9272D" w14:textId="77777777" w:rsidR="00ED54E0" w:rsidRPr="009239F7" w:rsidRDefault="00A8421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C01AB1" wp14:editId="33CCBF1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07712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609EA0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12FD9" w14:paraId="32444CB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D7E62E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A5A8AA" w14:textId="77777777" w:rsidR="009239F7" w:rsidRPr="002F6A28" w:rsidRDefault="00A84216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G/TBT/N/THA/638</w:t>
          </w:r>
          <w:bookmarkEnd w:id="44"/>
        </w:p>
      </w:tc>
    </w:tr>
    <w:tr w:rsidR="00E12FD9" w14:paraId="53DB353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EC7FE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B1CC2" w14:textId="462B474F" w:rsidR="00ED54E0" w:rsidRPr="009239F7" w:rsidRDefault="00B32E6C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20 October 2021</w:t>
          </w:r>
        </w:p>
      </w:tc>
    </w:tr>
    <w:tr w:rsidR="00E12FD9" w14:paraId="5C5D34B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9646A5" w14:textId="0D4BD8CD" w:rsidR="00ED54E0" w:rsidRPr="009239F7" w:rsidRDefault="00A84216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B32E6C">
            <w:rPr>
              <w:color w:val="FF0000"/>
              <w:szCs w:val="16"/>
            </w:rPr>
            <w:t>21-</w:t>
          </w:r>
          <w:r w:rsidR="00E31353">
            <w:rPr>
              <w:color w:val="FF0000"/>
              <w:szCs w:val="16"/>
            </w:rPr>
            <w:t>7933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F20E77A" w14:textId="77777777" w:rsidR="00ED54E0" w:rsidRPr="009239F7" w:rsidRDefault="00A84216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E12FD9" w14:paraId="56BD5A80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BC6B5B" w14:textId="77777777" w:rsidR="00ED54E0" w:rsidRPr="009239F7" w:rsidRDefault="00A84216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6F6D35" w14:textId="77777777" w:rsidR="00ED54E0" w:rsidRPr="002F6A28" w:rsidRDefault="00A84216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3945CEF2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668BE3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FB269D0" w:tentative="1">
      <w:start w:val="1"/>
      <w:numFmt w:val="lowerLetter"/>
      <w:lvlText w:val="%2."/>
      <w:lvlJc w:val="left"/>
      <w:pPr>
        <w:ind w:left="1080" w:hanging="360"/>
      </w:pPr>
    </w:lvl>
    <w:lvl w:ilvl="2" w:tplc="AF26D0EC" w:tentative="1">
      <w:start w:val="1"/>
      <w:numFmt w:val="lowerRoman"/>
      <w:lvlText w:val="%3."/>
      <w:lvlJc w:val="right"/>
      <w:pPr>
        <w:ind w:left="1800" w:hanging="180"/>
      </w:pPr>
    </w:lvl>
    <w:lvl w:ilvl="3" w:tplc="7F8474D4" w:tentative="1">
      <w:start w:val="1"/>
      <w:numFmt w:val="decimal"/>
      <w:lvlText w:val="%4."/>
      <w:lvlJc w:val="left"/>
      <w:pPr>
        <w:ind w:left="2520" w:hanging="360"/>
      </w:pPr>
    </w:lvl>
    <w:lvl w:ilvl="4" w:tplc="492EB844" w:tentative="1">
      <w:start w:val="1"/>
      <w:numFmt w:val="lowerLetter"/>
      <w:lvlText w:val="%5."/>
      <w:lvlJc w:val="left"/>
      <w:pPr>
        <w:ind w:left="3240" w:hanging="360"/>
      </w:pPr>
    </w:lvl>
    <w:lvl w:ilvl="5" w:tplc="AC6C307A" w:tentative="1">
      <w:start w:val="1"/>
      <w:numFmt w:val="lowerRoman"/>
      <w:lvlText w:val="%6."/>
      <w:lvlJc w:val="right"/>
      <w:pPr>
        <w:ind w:left="3960" w:hanging="180"/>
      </w:pPr>
    </w:lvl>
    <w:lvl w:ilvl="6" w:tplc="02EC8CAC" w:tentative="1">
      <w:start w:val="1"/>
      <w:numFmt w:val="decimal"/>
      <w:lvlText w:val="%7."/>
      <w:lvlJc w:val="left"/>
      <w:pPr>
        <w:ind w:left="4680" w:hanging="360"/>
      </w:pPr>
    </w:lvl>
    <w:lvl w:ilvl="7" w:tplc="16ECCDB0" w:tentative="1">
      <w:start w:val="1"/>
      <w:numFmt w:val="lowerLetter"/>
      <w:lvlText w:val="%8."/>
      <w:lvlJc w:val="left"/>
      <w:pPr>
        <w:ind w:left="5400" w:hanging="360"/>
      </w:pPr>
    </w:lvl>
    <w:lvl w:ilvl="8" w:tplc="596CDD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058C2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D4F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B8F8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AD472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2C8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6FA1C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B871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DF0E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8802C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ADD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1E7502"/>
    <w:rsid w:val="00204CC3"/>
    <w:rsid w:val="00233408"/>
    <w:rsid w:val="00267723"/>
    <w:rsid w:val="00270637"/>
    <w:rsid w:val="0027067B"/>
    <w:rsid w:val="002D21E3"/>
    <w:rsid w:val="002E174F"/>
    <w:rsid w:val="002F0C10"/>
    <w:rsid w:val="002F6A28"/>
    <w:rsid w:val="002F6BE9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39B5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84216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32E6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2FD9"/>
    <w:rsid w:val="00E147CB"/>
    <w:rsid w:val="00E20B42"/>
    <w:rsid w:val="00E25473"/>
    <w:rsid w:val="00E30FFD"/>
    <w:rsid w:val="00E31353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90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i.go.t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itbt@tisi.mail.go.th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1/TBT/THA/21_6650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tisi.go.t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haitbt@tisi.mail.go.t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390</Words>
  <Characters>2354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2021-10-20T12:01:00Z</dcterms:created>
  <dcterms:modified xsi:type="dcterms:W3CDTF">2021-10-20T12:27:00Z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