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C56E" w14:textId="77777777" w:rsidR="009239F7" w:rsidRPr="002F6A28" w:rsidRDefault="00DE0917" w:rsidP="002F6A28">
      <w:pPr>
        <w:pStyle w:val="Title"/>
        <w:rPr>
          <w:caps w:val="0"/>
          <w:kern w:val="0"/>
        </w:rPr>
      </w:pPr>
      <w:r w:rsidRPr="002F6A28">
        <w:rPr>
          <w:caps w:val="0"/>
          <w:kern w:val="0"/>
        </w:rPr>
        <w:t>NOTIFICATION</w:t>
      </w:r>
    </w:p>
    <w:p w14:paraId="03E0C5D6" w14:textId="77777777" w:rsidR="009239F7" w:rsidRPr="002F6A28" w:rsidRDefault="00DE0917" w:rsidP="002F6A28">
      <w:pPr>
        <w:jc w:val="center"/>
      </w:pPr>
      <w:r w:rsidRPr="002F6A28">
        <w:t>The following notification is being circulated in accordance with Article 10.6</w:t>
      </w:r>
    </w:p>
    <w:p w14:paraId="6112510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D317C" w14:paraId="1AA32DF5" w14:textId="77777777" w:rsidTr="0069259F">
        <w:tc>
          <w:tcPr>
            <w:tcW w:w="713" w:type="dxa"/>
            <w:tcBorders>
              <w:bottom w:val="single" w:sz="6" w:space="0" w:color="auto"/>
            </w:tcBorders>
            <w:shd w:val="clear" w:color="auto" w:fill="auto"/>
          </w:tcPr>
          <w:p w14:paraId="16BC1CF1" w14:textId="77777777" w:rsidR="00F85C99" w:rsidRPr="002F6A28" w:rsidRDefault="00DE0917" w:rsidP="002F6A28">
            <w:pPr>
              <w:spacing w:before="120" w:after="120"/>
              <w:jc w:val="left"/>
            </w:pPr>
            <w:r w:rsidRPr="002F6A28">
              <w:rPr>
                <w:b/>
              </w:rPr>
              <w:t>1.</w:t>
            </w:r>
          </w:p>
        </w:tc>
        <w:tc>
          <w:tcPr>
            <w:tcW w:w="8546" w:type="dxa"/>
            <w:tcBorders>
              <w:bottom w:val="single" w:sz="6" w:space="0" w:color="auto"/>
            </w:tcBorders>
            <w:shd w:val="clear" w:color="auto" w:fill="auto"/>
          </w:tcPr>
          <w:p w14:paraId="49AF0C63" w14:textId="77777777" w:rsidR="00F85C99" w:rsidRPr="002F6A28" w:rsidRDefault="00DE0917" w:rsidP="00C805B6">
            <w:pPr>
              <w:spacing w:before="120" w:after="120"/>
            </w:pPr>
            <w:r w:rsidRPr="002F6A28">
              <w:rPr>
                <w:b/>
              </w:rPr>
              <w:t>Notifying Member:</w:t>
            </w:r>
            <w:r w:rsidR="00EE3A11" w:rsidRPr="00C92678">
              <w:t xml:space="preserve"> </w:t>
            </w:r>
            <w:r w:rsidR="00EE3A11" w:rsidRPr="00C92678">
              <w:rPr>
                <w:u w:val="single"/>
              </w:rPr>
              <w:t>SINGAPORE</w:t>
            </w:r>
          </w:p>
          <w:p w14:paraId="5B7B0CB4" w14:textId="77777777" w:rsidR="00F85C99" w:rsidRPr="002F6A28" w:rsidRDefault="00DE0917" w:rsidP="002F6A28">
            <w:pPr>
              <w:spacing w:after="120"/>
            </w:pPr>
            <w:r w:rsidRPr="002F6A28">
              <w:rPr>
                <w:b/>
              </w:rPr>
              <w:t>If applicable, name of local government involved (Article 3.2 and 7.2):</w:t>
            </w:r>
            <w:r w:rsidR="00EE3A11" w:rsidRPr="00C379C8">
              <w:t xml:space="preserve"> </w:t>
            </w:r>
          </w:p>
        </w:tc>
      </w:tr>
      <w:tr w:rsidR="008D317C" w14:paraId="25255D6E" w14:textId="77777777" w:rsidTr="0069259F">
        <w:tc>
          <w:tcPr>
            <w:tcW w:w="713" w:type="dxa"/>
            <w:tcBorders>
              <w:top w:val="single" w:sz="6" w:space="0" w:color="auto"/>
              <w:bottom w:val="single" w:sz="6" w:space="0" w:color="auto"/>
            </w:tcBorders>
            <w:shd w:val="clear" w:color="auto" w:fill="auto"/>
          </w:tcPr>
          <w:p w14:paraId="0126DE4F" w14:textId="77777777" w:rsidR="00F85C99" w:rsidRPr="002F6A28" w:rsidRDefault="00DE091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B2B290E" w14:textId="77777777" w:rsidR="00F85C99" w:rsidRPr="002F6A28" w:rsidRDefault="00DE0917" w:rsidP="00155128">
            <w:pPr>
              <w:spacing w:before="120" w:after="120"/>
            </w:pPr>
            <w:r w:rsidRPr="002F6A28">
              <w:rPr>
                <w:b/>
              </w:rPr>
              <w:t>Agency responsible:</w:t>
            </w:r>
            <w:r w:rsidR="00EE3A11" w:rsidRPr="00C379C8">
              <w:t xml:space="preserve"> </w:t>
            </w:r>
          </w:p>
          <w:p w14:paraId="51D2EC4E" w14:textId="77777777" w:rsidR="00EE3A11" w:rsidRPr="00C379C8" w:rsidRDefault="00DE0917" w:rsidP="00155128">
            <w:pPr>
              <w:spacing w:after="120"/>
            </w:pPr>
            <w:r w:rsidRPr="00C379C8">
              <w:t>National Environment Agency (NEA)</w:t>
            </w:r>
          </w:p>
          <w:p w14:paraId="23C0590F" w14:textId="77777777" w:rsidR="00F85C99" w:rsidRPr="002F6A28" w:rsidRDefault="00DE0917"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8D317C" w14:paraId="46FDB56C" w14:textId="77777777" w:rsidTr="0069259F">
        <w:tc>
          <w:tcPr>
            <w:tcW w:w="713" w:type="dxa"/>
            <w:tcBorders>
              <w:top w:val="single" w:sz="6" w:space="0" w:color="auto"/>
              <w:bottom w:val="single" w:sz="6" w:space="0" w:color="auto"/>
            </w:tcBorders>
            <w:shd w:val="clear" w:color="auto" w:fill="auto"/>
          </w:tcPr>
          <w:p w14:paraId="257E1BA8" w14:textId="77777777" w:rsidR="00F85C99" w:rsidRPr="002F6A28" w:rsidRDefault="00DE091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1F7B593" w14:textId="77777777" w:rsidR="00F85C99" w:rsidRPr="0058336F" w:rsidRDefault="00DE0917"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8D317C" w14:paraId="294E6C97" w14:textId="77777777" w:rsidTr="0069259F">
        <w:tc>
          <w:tcPr>
            <w:tcW w:w="713" w:type="dxa"/>
            <w:tcBorders>
              <w:top w:val="single" w:sz="6" w:space="0" w:color="auto"/>
              <w:bottom w:val="single" w:sz="6" w:space="0" w:color="auto"/>
            </w:tcBorders>
            <w:shd w:val="clear" w:color="auto" w:fill="auto"/>
          </w:tcPr>
          <w:p w14:paraId="0E25D52B" w14:textId="77777777" w:rsidR="00F85C99" w:rsidRPr="002F6A28" w:rsidRDefault="00DE091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C6F796F" w14:textId="77777777" w:rsidR="00F85C99" w:rsidRPr="002F6A28" w:rsidRDefault="00DE0917"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4"/>
              <w:gridCol w:w="7203"/>
            </w:tblGrid>
            <w:tr w:rsidR="008D317C" w14:paraId="4A586FD2" w14:textId="77777777" w:rsidTr="00F94BE1">
              <w:trPr>
                <w:tblCellSpacing w:w="15" w:type="dxa"/>
                <w:jc w:val="center"/>
              </w:trPr>
              <w:tc>
                <w:tcPr>
                  <w:tcW w:w="389" w:type="dxa"/>
                  <w:tcMar>
                    <w:top w:w="15" w:type="dxa"/>
                    <w:left w:w="15" w:type="dxa"/>
                    <w:bottom w:w="15" w:type="dxa"/>
                    <w:right w:w="15" w:type="dxa"/>
                  </w:tcMar>
                  <w:vAlign w:val="center"/>
                  <w:hideMark/>
                </w:tcPr>
                <w:p w14:paraId="3B92749C" w14:textId="77777777" w:rsidR="00EE3A11" w:rsidRPr="00C379C8" w:rsidRDefault="00DE0917" w:rsidP="002F6A28">
                  <w:pPr>
                    <w:spacing w:before="120" w:after="120"/>
                  </w:pPr>
                  <w:r w:rsidRPr="00C379C8">
                    <w:rPr>
                      <w:b/>
                      <w:bCs/>
                    </w:rPr>
                    <w:t>S/N</w:t>
                  </w:r>
                </w:p>
              </w:tc>
              <w:tc>
                <w:tcPr>
                  <w:tcW w:w="7158" w:type="dxa"/>
                  <w:tcMar>
                    <w:top w:w="15" w:type="dxa"/>
                    <w:left w:w="15" w:type="dxa"/>
                    <w:bottom w:w="15" w:type="dxa"/>
                    <w:right w:w="15" w:type="dxa"/>
                  </w:tcMar>
                  <w:vAlign w:val="center"/>
                  <w:hideMark/>
                </w:tcPr>
                <w:p w14:paraId="7C9063FA" w14:textId="77777777" w:rsidR="00EE3A11" w:rsidRPr="00C379C8" w:rsidRDefault="00DE0917" w:rsidP="002F6A28">
                  <w:pPr>
                    <w:spacing w:before="120" w:after="120"/>
                  </w:pPr>
                  <w:r w:rsidRPr="00C379C8">
                    <w:rPr>
                      <w:b/>
                      <w:bCs/>
                    </w:rPr>
                    <w:t xml:space="preserve">Products Covered </w:t>
                  </w:r>
                </w:p>
              </w:tc>
            </w:tr>
            <w:tr w:rsidR="008D317C" w14:paraId="5A583E44" w14:textId="77777777" w:rsidTr="00F94BE1">
              <w:trPr>
                <w:tblCellSpacing w:w="15" w:type="dxa"/>
                <w:jc w:val="center"/>
              </w:trPr>
              <w:tc>
                <w:tcPr>
                  <w:tcW w:w="389" w:type="dxa"/>
                  <w:tcMar>
                    <w:top w:w="15" w:type="dxa"/>
                    <w:left w:w="15" w:type="dxa"/>
                    <w:bottom w:w="15" w:type="dxa"/>
                    <w:right w:w="15" w:type="dxa"/>
                  </w:tcMar>
                  <w:vAlign w:val="center"/>
                  <w:hideMark/>
                </w:tcPr>
                <w:p w14:paraId="3DC6AAD3" w14:textId="77777777" w:rsidR="00EE3A11" w:rsidRPr="00C379C8" w:rsidRDefault="00DE0917" w:rsidP="002F6A28">
                  <w:pPr>
                    <w:spacing w:before="120" w:after="120"/>
                  </w:pPr>
                  <w:r w:rsidRPr="00C379C8">
                    <w:t>1</w:t>
                  </w:r>
                </w:p>
              </w:tc>
              <w:tc>
                <w:tcPr>
                  <w:tcW w:w="7158" w:type="dxa"/>
                  <w:tcMar>
                    <w:top w:w="15" w:type="dxa"/>
                    <w:left w:w="15" w:type="dxa"/>
                    <w:bottom w:w="15" w:type="dxa"/>
                    <w:right w:w="15" w:type="dxa"/>
                  </w:tcMar>
                  <w:vAlign w:val="center"/>
                  <w:hideMark/>
                </w:tcPr>
                <w:p w14:paraId="09942AD6" w14:textId="77777777" w:rsidR="00EE3A11" w:rsidRPr="00C379C8" w:rsidRDefault="00DE0917" w:rsidP="002F6A28">
                  <w:pPr>
                    <w:spacing w:before="120" w:after="120"/>
                  </w:pPr>
                  <w:r w:rsidRPr="00C379C8">
                    <w:rPr>
                      <w:b/>
                      <w:bCs/>
                    </w:rPr>
                    <w:t xml:space="preserve">Entry Y49 to Annex II (i.e. Wastes Requiring Special Consideration) of the Basel Convention* – Electrical and Electronic Waste (HS Code Header: 85.49): </w:t>
                  </w:r>
                </w:p>
                <w:p w14:paraId="143C007A" w14:textId="77777777" w:rsidR="00EE3A11" w:rsidRPr="00C379C8" w:rsidRDefault="00DE0917" w:rsidP="002F6A28">
                  <w:pPr>
                    <w:numPr>
                      <w:ilvl w:val="0"/>
                      <w:numId w:val="16"/>
                    </w:numPr>
                    <w:spacing w:before="120" w:after="120"/>
                    <w:jc w:val="left"/>
                  </w:pPr>
                  <w:r w:rsidRPr="00C379C8">
                    <w:t xml:space="preserve">Waste electrical and electronic equipment: </w:t>
                  </w:r>
                </w:p>
                <w:p w14:paraId="5CEB0CA7" w14:textId="77777777" w:rsidR="00EE3A11" w:rsidRPr="00C379C8" w:rsidRDefault="00DE0917" w:rsidP="002F6A28">
                  <w:pPr>
                    <w:numPr>
                      <w:ilvl w:val="1"/>
                      <w:numId w:val="16"/>
                    </w:numPr>
                    <w:spacing w:before="120" w:after="120"/>
                    <w:jc w:val="left"/>
                  </w:pPr>
                  <w:r w:rsidRPr="00C379C8">
                    <w:t>not containing and not contaminated with Annex I (i.e. categories of wastes to be controlled) constituents to an extent that the waste exhibits an Annex III characteristic (i.e. hazardous characteristics), and</w:t>
                  </w:r>
                </w:p>
                <w:p w14:paraId="405155AF" w14:textId="77777777" w:rsidR="00EE3A11" w:rsidRPr="00C379C8" w:rsidRDefault="00DE0917" w:rsidP="002F6A28">
                  <w:pPr>
                    <w:numPr>
                      <w:ilvl w:val="1"/>
                      <w:numId w:val="16"/>
                    </w:numPr>
                    <w:spacing w:before="120" w:after="120"/>
                    <w:jc w:val="left"/>
                  </w:pPr>
                  <w:r w:rsidRPr="00C379C8">
                    <w:t>in which none of the components (e.g. certain circuit boards, certain display devices) contain or are contaminated with Annex I constituents to an extent that the component exhibits an Annex III characteristic</w:t>
                  </w:r>
                </w:p>
                <w:p w14:paraId="0B50ED73" w14:textId="77777777" w:rsidR="00EE3A11" w:rsidRPr="00C379C8" w:rsidRDefault="00DE0917" w:rsidP="002F6A28">
                  <w:pPr>
                    <w:numPr>
                      <w:ilvl w:val="0"/>
                      <w:numId w:val="16"/>
                    </w:numPr>
                    <w:spacing w:before="120" w:after="120"/>
                    <w:jc w:val="left"/>
                  </w:pPr>
                  <w:r w:rsidRPr="00C379C8">
                    <w:t>Waste components of electrical and electronic equipment (e.g. certain circuit boards, certain display devices) not containing and not contaminated with Annex I constituents to an extent that the waste components exhibit an Annex III characteristic, unless covered by another entry in Annex II (i.e. waste requiring special consideration) or by an entry in Annex IX.</w:t>
                  </w:r>
                </w:p>
                <w:p w14:paraId="3AB20435" w14:textId="77777777" w:rsidR="00EE3A11" w:rsidRPr="00C379C8" w:rsidRDefault="00DE0917" w:rsidP="002F6A28">
                  <w:pPr>
                    <w:numPr>
                      <w:ilvl w:val="0"/>
                      <w:numId w:val="16"/>
                    </w:numPr>
                    <w:spacing w:before="120" w:after="120"/>
                    <w:jc w:val="left"/>
                  </w:pPr>
                  <w:r w:rsidRPr="00C379C8">
                    <w:t xml:space="preserve">Wastes arising from the processing of waste electrical and electronic equipment or waste components of electrical and electronic equipment (e.g. fractions arising from shredding or dismantling), and not containing and not contaminated with Annex I constituents to an </w:t>
                  </w:r>
                  <w:r w:rsidRPr="00C379C8">
                    <w:lastRenderedPageBreak/>
                    <w:t>extent that the waste exhibits an Annex III characteristic, unless covered by another entry in Annex II or by an entry in Annex IX.</w:t>
                  </w:r>
                </w:p>
              </w:tc>
            </w:tr>
            <w:tr w:rsidR="008D317C" w14:paraId="4997AC63" w14:textId="77777777" w:rsidTr="00F94BE1">
              <w:trPr>
                <w:tblCellSpacing w:w="15" w:type="dxa"/>
                <w:jc w:val="center"/>
              </w:trPr>
              <w:tc>
                <w:tcPr>
                  <w:tcW w:w="389" w:type="dxa"/>
                  <w:tcMar>
                    <w:top w:w="15" w:type="dxa"/>
                    <w:left w:w="15" w:type="dxa"/>
                    <w:bottom w:w="15" w:type="dxa"/>
                    <w:right w:w="15" w:type="dxa"/>
                  </w:tcMar>
                  <w:vAlign w:val="center"/>
                  <w:hideMark/>
                </w:tcPr>
                <w:p w14:paraId="0659AED1" w14:textId="77777777" w:rsidR="00EE3A11" w:rsidRPr="00C379C8" w:rsidRDefault="00DE0917" w:rsidP="002F6A28">
                  <w:pPr>
                    <w:spacing w:before="120" w:after="120"/>
                  </w:pPr>
                  <w:r w:rsidRPr="00C379C8">
                    <w:lastRenderedPageBreak/>
                    <w:t>2</w:t>
                  </w:r>
                </w:p>
              </w:tc>
              <w:tc>
                <w:tcPr>
                  <w:tcW w:w="7158" w:type="dxa"/>
                  <w:tcMar>
                    <w:top w:w="15" w:type="dxa"/>
                    <w:left w:w="15" w:type="dxa"/>
                    <w:bottom w:w="15" w:type="dxa"/>
                    <w:right w:w="15" w:type="dxa"/>
                  </w:tcMar>
                  <w:vAlign w:val="center"/>
                  <w:hideMark/>
                </w:tcPr>
                <w:p w14:paraId="399441EC" w14:textId="77777777" w:rsidR="00EE3A11" w:rsidRPr="00C379C8" w:rsidRDefault="00DE0917" w:rsidP="002F6A28">
                  <w:pPr>
                    <w:spacing w:before="120" w:after="120"/>
                  </w:pPr>
                  <w:r w:rsidRPr="00C379C8">
                    <w:rPr>
                      <w:b/>
                      <w:bCs/>
                    </w:rPr>
                    <w:t xml:space="preserve">Entry A1181 to Annex VIII (i.e. Waste Characterized as Hazardous) to the Basel Convention* – Electrical and Electronic Waste (HS Code Header: 85.49): </w:t>
                  </w:r>
                </w:p>
                <w:p w14:paraId="07B1C4D8" w14:textId="77777777" w:rsidR="00EE3A11" w:rsidRPr="00C379C8" w:rsidRDefault="00DE0917" w:rsidP="002F6A28">
                  <w:pPr>
                    <w:numPr>
                      <w:ilvl w:val="0"/>
                      <w:numId w:val="17"/>
                    </w:numPr>
                    <w:spacing w:before="120" w:after="120"/>
                    <w:jc w:val="left"/>
                  </w:pPr>
                  <w:r w:rsidRPr="00C379C8">
                    <w:t xml:space="preserve">Waste electrical and electronic equipment </w:t>
                  </w:r>
                </w:p>
                <w:p w14:paraId="49D9383B" w14:textId="77777777" w:rsidR="00EE3A11" w:rsidRPr="00C379C8" w:rsidRDefault="00DE0917" w:rsidP="002F6A28">
                  <w:pPr>
                    <w:numPr>
                      <w:ilvl w:val="1"/>
                      <w:numId w:val="17"/>
                    </w:numPr>
                    <w:spacing w:before="120" w:after="120"/>
                    <w:jc w:val="left"/>
                  </w:pPr>
                  <w:r w:rsidRPr="00C379C8">
                    <w:t>containing or contaminated with cadmium, lead, mercury, organohalogen compounds or other Annex I constituents to an extent that the waste exhibits an Annex III characteristic, or</w:t>
                  </w:r>
                </w:p>
                <w:p w14:paraId="2D4F1E41" w14:textId="77777777" w:rsidR="00EE3A11" w:rsidRPr="00C379C8" w:rsidRDefault="00DE0917" w:rsidP="002F6A28">
                  <w:pPr>
                    <w:numPr>
                      <w:ilvl w:val="1"/>
                      <w:numId w:val="17"/>
                    </w:numPr>
                    <w:spacing w:before="120" w:after="120"/>
                    <w:jc w:val="left"/>
                  </w:pPr>
                  <w:r w:rsidRPr="00C379C8">
                    <w:t xml:space="preserve">with a component containing or contaminated with Annex I constituents to an extent that the component exhibits an Annex III characteristic, including but not limited to any of the following components: </w:t>
                  </w:r>
                </w:p>
                <w:p w14:paraId="4F486FE4" w14:textId="77777777" w:rsidR="00EE3A11" w:rsidRPr="00C379C8" w:rsidRDefault="00DE0917" w:rsidP="002F6A28">
                  <w:pPr>
                    <w:numPr>
                      <w:ilvl w:val="2"/>
                      <w:numId w:val="17"/>
                    </w:numPr>
                    <w:spacing w:before="120" w:after="120"/>
                    <w:jc w:val="left"/>
                  </w:pPr>
                  <w:r w:rsidRPr="00C379C8">
                    <w:t>glass from cathode-ray tubes included on list A</w:t>
                  </w:r>
                </w:p>
                <w:p w14:paraId="28F95439" w14:textId="77777777" w:rsidR="00EE3A11" w:rsidRPr="00C379C8" w:rsidRDefault="00DE0917" w:rsidP="002F6A28">
                  <w:pPr>
                    <w:numPr>
                      <w:ilvl w:val="2"/>
                      <w:numId w:val="17"/>
                    </w:numPr>
                    <w:spacing w:before="120" w:after="120"/>
                    <w:jc w:val="left"/>
                  </w:pPr>
                  <w:r w:rsidRPr="00C379C8">
                    <w:t>a battery included on list A</w:t>
                  </w:r>
                </w:p>
                <w:p w14:paraId="0020D2BF" w14:textId="77777777" w:rsidR="00EE3A11" w:rsidRPr="00C379C8" w:rsidRDefault="00DE0917" w:rsidP="002F6A28">
                  <w:pPr>
                    <w:numPr>
                      <w:ilvl w:val="2"/>
                      <w:numId w:val="17"/>
                    </w:numPr>
                    <w:spacing w:before="120" w:after="120"/>
                    <w:jc w:val="left"/>
                  </w:pPr>
                  <w:r w:rsidRPr="00C379C8">
                    <w:t>a switch, lamp, fluorescent tube or a display device backlight which contains mercury</w:t>
                  </w:r>
                </w:p>
                <w:p w14:paraId="06419A2B" w14:textId="77777777" w:rsidR="00EE3A11" w:rsidRPr="00C379C8" w:rsidRDefault="00DE0917" w:rsidP="002F6A28">
                  <w:pPr>
                    <w:numPr>
                      <w:ilvl w:val="2"/>
                      <w:numId w:val="17"/>
                    </w:numPr>
                    <w:spacing w:before="120" w:after="120"/>
                    <w:jc w:val="left"/>
                  </w:pPr>
                  <w:r w:rsidRPr="00C379C8">
                    <w:t>a capacitor containing PCBs</w:t>
                  </w:r>
                </w:p>
                <w:p w14:paraId="1DC4209E" w14:textId="77777777" w:rsidR="00EE3A11" w:rsidRPr="00C379C8" w:rsidRDefault="00DE0917" w:rsidP="002F6A28">
                  <w:pPr>
                    <w:numPr>
                      <w:ilvl w:val="2"/>
                      <w:numId w:val="17"/>
                    </w:numPr>
                    <w:spacing w:before="120" w:after="120"/>
                    <w:jc w:val="left"/>
                  </w:pPr>
                  <w:r w:rsidRPr="00C379C8">
                    <w:t>a component containing asbestos</w:t>
                  </w:r>
                </w:p>
                <w:p w14:paraId="082409B5" w14:textId="77777777" w:rsidR="00EE3A11" w:rsidRPr="00C379C8" w:rsidRDefault="00DE0917" w:rsidP="002F6A28">
                  <w:pPr>
                    <w:numPr>
                      <w:ilvl w:val="2"/>
                      <w:numId w:val="17"/>
                    </w:numPr>
                    <w:spacing w:before="120" w:after="120"/>
                    <w:jc w:val="left"/>
                  </w:pPr>
                  <w:r w:rsidRPr="00C379C8">
                    <w:t>certain circuit boards</w:t>
                  </w:r>
                </w:p>
                <w:p w14:paraId="699509CE" w14:textId="77777777" w:rsidR="00EE3A11" w:rsidRPr="00C379C8" w:rsidRDefault="00DE0917" w:rsidP="002F6A28">
                  <w:pPr>
                    <w:numPr>
                      <w:ilvl w:val="2"/>
                      <w:numId w:val="17"/>
                    </w:numPr>
                    <w:spacing w:before="120" w:after="120"/>
                    <w:jc w:val="left"/>
                  </w:pPr>
                  <w:r w:rsidRPr="00C379C8">
                    <w:t>certain display devices</w:t>
                  </w:r>
                </w:p>
                <w:p w14:paraId="15A60A01" w14:textId="77777777" w:rsidR="00EE3A11" w:rsidRPr="00C379C8" w:rsidRDefault="00DE0917" w:rsidP="002F6A28">
                  <w:pPr>
                    <w:numPr>
                      <w:ilvl w:val="2"/>
                      <w:numId w:val="17"/>
                    </w:numPr>
                    <w:spacing w:before="120" w:after="120"/>
                    <w:jc w:val="left"/>
                  </w:pPr>
                  <w:r w:rsidRPr="00C379C8">
                    <w:t>certain plastic components containing a brominated flame retardant</w:t>
                  </w:r>
                </w:p>
                <w:p w14:paraId="1DDA8236" w14:textId="77777777" w:rsidR="00EE3A11" w:rsidRPr="00C379C8" w:rsidRDefault="00DE0917" w:rsidP="002F6A28">
                  <w:pPr>
                    <w:numPr>
                      <w:ilvl w:val="0"/>
                      <w:numId w:val="17"/>
                    </w:numPr>
                    <w:spacing w:before="120" w:after="120"/>
                    <w:jc w:val="left"/>
                  </w:pPr>
                  <w:r w:rsidRPr="00C379C8">
                    <w:t>Waste components of electrical and electronic equipment containing or contaminated with Annex I constituents to an extent that the waste components exhibit an Annex III characteristic, unless covered by another entry on list A</w:t>
                  </w:r>
                </w:p>
                <w:p w14:paraId="62C20DC8" w14:textId="77777777" w:rsidR="00EE3A11" w:rsidRPr="00C379C8" w:rsidRDefault="00DE0917" w:rsidP="002F6A28">
                  <w:pPr>
                    <w:numPr>
                      <w:ilvl w:val="0"/>
                      <w:numId w:val="17"/>
                    </w:numPr>
                    <w:spacing w:before="120" w:after="120"/>
                    <w:jc w:val="left"/>
                  </w:pPr>
                  <w:r w:rsidRPr="00C379C8">
                    <w:t>Wastes arising from the processing of waste electrical and electronic equipment or waste components of electrical and electronic equipment, and containing or contaminated with Annex I constituents to an extent that the waste exhibits an Annex III characteristic (e.g. fractions arising from shredding or dismantling), unless covered by another entry on list A</w:t>
                  </w:r>
                </w:p>
              </w:tc>
            </w:tr>
          </w:tbl>
          <w:p w14:paraId="5ABD4008" w14:textId="77777777" w:rsidR="00EE3A11" w:rsidRPr="00C379C8" w:rsidRDefault="00DE0917" w:rsidP="002F6A28">
            <w:pPr>
              <w:spacing w:before="120" w:after="120"/>
              <w:rPr>
                <w:i/>
                <w:iCs/>
              </w:rPr>
            </w:pPr>
            <w:r w:rsidRPr="00C379C8">
              <w:rPr>
                <w:i/>
                <w:iCs/>
              </w:rPr>
              <w:t xml:space="preserve">* For more information on the descriptions of the Entries and Annexes, please refer to the Basel Convention text at the following website: </w:t>
            </w:r>
            <w:hyperlink r:id="rId9" w:history="1">
              <w:r w:rsidRPr="00C379C8">
                <w:rPr>
                  <w:i/>
                  <w:iCs/>
                  <w:color w:val="0000FF"/>
                  <w:u w:val="single"/>
                </w:rPr>
                <w:t>https://www.basel.int/TheConvention/Overview/TextoftheConvention/tabid/1275/Default.aspx</w:t>
              </w:r>
            </w:hyperlink>
          </w:p>
        </w:tc>
      </w:tr>
      <w:tr w:rsidR="008D317C" w14:paraId="7FC81981" w14:textId="77777777" w:rsidTr="0069259F">
        <w:tc>
          <w:tcPr>
            <w:tcW w:w="713" w:type="dxa"/>
            <w:tcBorders>
              <w:top w:val="single" w:sz="6" w:space="0" w:color="auto"/>
              <w:bottom w:val="single" w:sz="6" w:space="0" w:color="auto"/>
            </w:tcBorders>
            <w:shd w:val="clear" w:color="auto" w:fill="auto"/>
          </w:tcPr>
          <w:p w14:paraId="40A8B618" w14:textId="77777777" w:rsidR="00F85C99" w:rsidRPr="002F6A28" w:rsidRDefault="00DE0917" w:rsidP="002F6A28">
            <w:pPr>
              <w:spacing w:before="120" w:after="120"/>
              <w:jc w:val="left"/>
            </w:pPr>
            <w:r w:rsidRPr="002F6A28">
              <w:rPr>
                <w:b/>
              </w:rPr>
              <w:lastRenderedPageBreak/>
              <w:t>5.</w:t>
            </w:r>
          </w:p>
        </w:tc>
        <w:tc>
          <w:tcPr>
            <w:tcW w:w="8546" w:type="dxa"/>
            <w:tcBorders>
              <w:top w:val="single" w:sz="6" w:space="0" w:color="auto"/>
              <w:bottom w:val="single" w:sz="6" w:space="0" w:color="auto"/>
            </w:tcBorders>
            <w:shd w:val="clear" w:color="auto" w:fill="auto"/>
          </w:tcPr>
          <w:p w14:paraId="235E9D5F" w14:textId="77777777" w:rsidR="00F85C99" w:rsidRPr="002F6A28" w:rsidRDefault="00DE0917" w:rsidP="002F6A28">
            <w:pPr>
              <w:spacing w:before="120" w:after="120"/>
            </w:pPr>
            <w:r w:rsidRPr="002F6A28">
              <w:rPr>
                <w:b/>
              </w:rPr>
              <w:t>Title, number of pages and language(s) of the notified document:</w:t>
            </w:r>
            <w:r w:rsidR="00EE3A11" w:rsidRPr="00C379C8">
              <w:t xml:space="preserve"> NEA Circular on Transboundary Movement Control on Electronic Waste under the Basel Convention; (4 page(s), in English)</w:t>
            </w:r>
          </w:p>
        </w:tc>
      </w:tr>
      <w:tr w:rsidR="008D317C" w14:paraId="3B81B88B" w14:textId="77777777" w:rsidTr="0069259F">
        <w:tc>
          <w:tcPr>
            <w:tcW w:w="713" w:type="dxa"/>
            <w:tcBorders>
              <w:top w:val="single" w:sz="6" w:space="0" w:color="auto"/>
              <w:bottom w:val="single" w:sz="6" w:space="0" w:color="auto"/>
            </w:tcBorders>
            <w:shd w:val="clear" w:color="auto" w:fill="auto"/>
          </w:tcPr>
          <w:p w14:paraId="3A875B75" w14:textId="77777777" w:rsidR="00F85C99" w:rsidRPr="002F6A28" w:rsidRDefault="00DE091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5CC5910" w14:textId="77777777" w:rsidR="00F85C99" w:rsidRPr="002F6A28" w:rsidRDefault="00DE0917" w:rsidP="002F6A28">
            <w:pPr>
              <w:spacing w:before="120" w:after="120"/>
              <w:rPr>
                <w:b/>
              </w:rPr>
            </w:pPr>
            <w:r w:rsidRPr="002F6A28">
              <w:rPr>
                <w:b/>
              </w:rPr>
              <w:t>Description of content:</w:t>
            </w:r>
            <w:r w:rsidR="00FE448B" w:rsidRPr="00C379C8">
              <w:t xml:space="preserve"> Singapore is a Party to the Basel Convention and noting that the scope of coverage of the Basel Convention will be amended, NEA is proposing to align the list of waste electrical and electronic equipment and its components ("e-waste") under Singapore's Hazardous Waste (Control of Export, Import and Transit) Act with the Basel Convention. Companies that intend to import or export e-waste, or whose e-waste transits through Singapore, will be required to carry out the Prior Informed Consent procedure specified under the Basel Convention and obtain a Basel Permit from NEA prior to shipment.</w:t>
            </w:r>
          </w:p>
        </w:tc>
      </w:tr>
      <w:tr w:rsidR="008D317C" w14:paraId="1DD37FEC" w14:textId="77777777" w:rsidTr="0069259F">
        <w:tc>
          <w:tcPr>
            <w:tcW w:w="713" w:type="dxa"/>
            <w:tcBorders>
              <w:top w:val="single" w:sz="6" w:space="0" w:color="auto"/>
              <w:bottom w:val="single" w:sz="6" w:space="0" w:color="auto"/>
            </w:tcBorders>
            <w:shd w:val="clear" w:color="auto" w:fill="auto"/>
          </w:tcPr>
          <w:p w14:paraId="7A917E8A" w14:textId="77777777" w:rsidR="00F85C99" w:rsidRPr="002F6A28" w:rsidRDefault="00DE091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AB0705D" w14:textId="77777777" w:rsidR="00F85C99" w:rsidRPr="002F6A28" w:rsidRDefault="00DE0917" w:rsidP="002F6A28">
            <w:pPr>
              <w:spacing w:before="120" w:after="120"/>
              <w:rPr>
                <w:b/>
              </w:rPr>
            </w:pPr>
            <w:r w:rsidRPr="002F6A28">
              <w:rPr>
                <w:b/>
              </w:rPr>
              <w:t>Objective and rationale, including the nature of urgent problems where applicable:</w:t>
            </w:r>
            <w:r w:rsidR="00EE3A11" w:rsidRPr="00C379C8">
              <w:t xml:space="preserve"> Pursuant to the obligations of a Party to the Basel Convention, the proposed measures and requirements seek to ensure proper accountability of e-waste and that the e-waste can be managed in an environmentally sound manner. ; Protection of the environment</w:t>
            </w:r>
          </w:p>
        </w:tc>
      </w:tr>
      <w:tr w:rsidR="008D317C" w14:paraId="40B0A552" w14:textId="77777777" w:rsidTr="0069259F">
        <w:tc>
          <w:tcPr>
            <w:tcW w:w="713" w:type="dxa"/>
            <w:tcBorders>
              <w:top w:val="single" w:sz="6" w:space="0" w:color="auto"/>
              <w:bottom w:val="single" w:sz="6" w:space="0" w:color="auto"/>
            </w:tcBorders>
            <w:shd w:val="clear" w:color="auto" w:fill="auto"/>
          </w:tcPr>
          <w:p w14:paraId="55DF35EF" w14:textId="77777777" w:rsidR="00F85C99" w:rsidRPr="002F6A28" w:rsidRDefault="00DE091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F24EA50" w14:textId="77777777" w:rsidR="00086AF5" w:rsidRPr="00086AF5" w:rsidRDefault="00DE0917" w:rsidP="007F13E8">
            <w:pPr>
              <w:spacing w:before="120" w:after="120"/>
              <w:rPr>
                <w:bCs/>
              </w:rPr>
            </w:pPr>
            <w:r w:rsidRPr="002F6A28">
              <w:rPr>
                <w:b/>
              </w:rPr>
              <w:t>Relevant documents:</w:t>
            </w:r>
            <w:r w:rsidR="00EE3A11" w:rsidRPr="002F6A28">
              <w:t xml:space="preserve"> </w:t>
            </w:r>
          </w:p>
          <w:p w14:paraId="763DECC1" w14:textId="77777777" w:rsidR="00EE3A11" w:rsidRPr="002F6A28" w:rsidRDefault="00DE0917" w:rsidP="007F13E8">
            <w:pPr>
              <w:spacing w:before="120" w:after="120"/>
            </w:pPr>
            <w:r w:rsidRPr="002F6A28">
              <w:t xml:space="preserve">Hazardous Waste (Control of Export, Import and Transit) Act 1997, 105 pages, in English (Available online at </w:t>
            </w:r>
            <w:hyperlink r:id="rId10" w:tgtFrame="_blank" w:history="1">
              <w:r w:rsidRPr="002F6A28">
                <w:rPr>
                  <w:color w:val="0000FF"/>
                  <w:u w:val="single"/>
                </w:rPr>
                <w:t>https://sso.agc.gov.sg/Act/HWCEITA1997</w:t>
              </w:r>
            </w:hyperlink>
            <w:r w:rsidRPr="002F6A28">
              <w:t>)</w:t>
            </w:r>
          </w:p>
        </w:tc>
      </w:tr>
      <w:tr w:rsidR="008D317C" w14:paraId="4910F958" w14:textId="77777777" w:rsidTr="00AE6CC8">
        <w:trPr>
          <w:cantSplit/>
        </w:trPr>
        <w:tc>
          <w:tcPr>
            <w:tcW w:w="713" w:type="dxa"/>
            <w:tcBorders>
              <w:top w:val="single" w:sz="6" w:space="0" w:color="auto"/>
              <w:bottom w:val="single" w:sz="6" w:space="0" w:color="auto"/>
            </w:tcBorders>
            <w:shd w:val="clear" w:color="auto" w:fill="auto"/>
          </w:tcPr>
          <w:p w14:paraId="53C30258" w14:textId="77777777" w:rsidR="00EE3A11" w:rsidRPr="002F6A28" w:rsidRDefault="00DE091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B3DD5B6" w14:textId="77777777" w:rsidR="00EE3A11" w:rsidRPr="002F6A28" w:rsidRDefault="00DE0917" w:rsidP="008953C4">
            <w:pPr>
              <w:spacing w:before="120" w:after="120"/>
            </w:pPr>
            <w:r w:rsidRPr="002F6A28">
              <w:rPr>
                <w:b/>
              </w:rPr>
              <w:t>Proposed date of adoption:</w:t>
            </w:r>
            <w:r w:rsidRPr="00C379C8">
              <w:t xml:space="preserve"> Notice will be published in the Republic of Singapore's Government Gazette (estimated to be in October 2024).</w:t>
            </w:r>
          </w:p>
          <w:p w14:paraId="0E3CAEF7" w14:textId="77777777" w:rsidR="00EE3A11" w:rsidRPr="002F6A28" w:rsidRDefault="00DE0917" w:rsidP="008953C4">
            <w:pPr>
              <w:spacing w:after="120"/>
            </w:pPr>
            <w:r w:rsidRPr="002F6A28">
              <w:rPr>
                <w:b/>
              </w:rPr>
              <w:t>Proposed date of entry into force:</w:t>
            </w:r>
            <w:r w:rsidRPr="00C379C8">
              <w:t xml:space="preserve"> 1 January 2025 (in line with the Basel Convention)</w:t>
            </w:r>
          </w:p>
        </w:tc>
      </w:tr>
      <w:tr w:rsidR="008D317C" w14:paraId="11CD067D" w14:textId="77777777" w:rsidTr="0069259F">
        <w:tc>
          <w:tcPr>
            <w:tcW w:w="713" w:type="dxa"/>
            <w:tcBorders>
              <w:top w:val="single" w:sz="6" w:space="0" w:color="auto"/>
              <w:bottom w:val="single" w:sz="6" w:space="0" w:color="auto"/>
            </w:tcBorders>
            <w:shd w:val="clear" w:color="auto" w:fill="auto"/>
          </w:tcPr>
          <w:p w14:paraId="2B3A86FA" w14:textId="77777777" w:rsidR="00F85C99" w:rsidRPr="002F6A28" w:rsidRDefault="00DE091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F58EEC5" w14:textId="77777777" w:rsidR="00F85C99" w:rsidRPr="002F6A28" w:rsidRDefault="00DE0917" w:rsidP="002F6A28">
            <w:pPr>
              <w:spacing w:before="120" w:after="120"/>
            </w:pPr>
            <w:r w:rsidRPr="002F6A28">
              <w:rPr>
                <w:b/>
              </w:rPr>
              <w:t>Final date for comments:</w:t>
            </w:r>
            <w:r w:rsidR="00EE3A11" w:rsidRPr="00C379C8">
              <w:t xml:space="preserve"> 60 days from notification</w:t>
            </w:r>
          </w:p>
        </w:tc>
      </w:tr>
      <w:tr w:rsidR="008D317C" w14:paraId="3FA13668" w14:textId="77777777" w:rsidTr="0069259F">
        <w:tc>
          <w:tcPr>
            <w:tcW w:w="713" w:type="dxa"/>
            <w:tcBorders>
              <w:top w:val="single" w:sz="6" w:space="0" w:color="auto"/>
            </w:tcBorders>
            <w:shd w:val="clear" w:color="auto" w:fill="auto"/>
          </w:tcPr>
          <w:p w14:paraId="017E93E6" w14:textId="77777777" w:rsidR="00F85C99" w:rsidRPr="002F6A28" w:rsidRDefault="00DE091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FFC91A7" w14:textId="77777777" w:rsidR="00F85C99" w:rsidRPr="002F6A28" w:rsidRDefault="00DE0917"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76CAF3A" w14:textId="77777777" w:rsidR="00EE3A11" w:rsidRPr="00A12DDE" w:rsidRDefault="00DE0917" w:rsidP="00B16145">
            <w:pPr>
              <w:keepNext/>
              <w:keepLines/>
              <w:rPr>
                <w:bCs/>
              </w:rPr>
            </w:pPr>
            <w:r w:rsidRPr="00A12DDE">
              <w:rPr>
                <w:bCs/>
              </w:rPr>
              <w:t>Mr Lee Chin Chian</w:t>
            </w:r>
          </w:p>
          <w:p w14:paraId="2F8B1751" w14:textId="77777777" w:rsidR="00EE3A11" w:rsidRPr="00A12DDE" w:rsidRDefault="00DE0917" w:rsidP="00B16145">
            <w:pPr>
              <w:keepNext/>
              <w:keepLines/>
              <w:rPr>
                <w:bCs/>
              </w:rPr>
            </w:pPr>
            <w:r w:rsidRPr="00A12DDE">
              <w:rPr>
                <w:bCs/>
              </w:rPr>
              <w:t>Senior Engineer</w:t>
            </w:r>
          </w:p>
          <w:p w14:paraId="060A50B3" w14:textId="77777777" w:rsidR="00EE3A11" w:rsidRPr="00A12DDE" w:rsidRDefault="00DE0917" w:rsidP="00B16145">
            <w:pPr>
              <w:keepNext/>
              <w:keepLines/>
              <w:rPr>
                <w:bCs/>
              </w:rPr>
            </w:pPr>
            <w:r w:rsidRPr="00A12DDE">
              <w:rPr>
                <w:bCs/>
              </w:rPr>
              <w:t>Chemical Control and Management Department, Pollution Control 1 Division</w:t>
            </w:r>
          </w:p>
          <w:p w14:paraId="54C6A770" w14:textId="77777777" w:rsidR="00EE3A11" w:rsidRPr="00A12DDE" w:rsidRDefault="00DE0917" w:rsidP="00B16145">
            <w:pPr>
              <w:keepNext/>
              <w:keepLines/>
              <w:rPr>
                <w:bCs/>
              </w:rPr>
            </w:pPr>
            <w:r w:rsidRPr="00A12DDE">
              <w:rPr>
                <w:bCs/>
              </w:rPr>
              <w:t>40 Scotts Road, Environment Building, #17-00</w:t>
            </w:r>
          </w:p>
          <w:p w14:paraId="6412474E" w14:textId="77777777" w:rsidR="00EE3A11" w:rsidRPr="00A12DDE" w:rsidRDefault="00DE0917" w:rsidP="00B16145">
            <w:pPr>
              <w:keepNext/>
              <w:keepLines/>
              <w:rPr>
                <w:bCs/>
              </w:rPr>
            </w:pPr>
            <w:r w:rsidRPr="00A12DDE">
              <w:rPr>
                <w:bCs/>
              </w:rPr>
              <w:t>Singapore 228231</w:t>
            </w:r>
          </w:p>
          <w:p w14:paraId="2C467073" w14:textId="77777777" w:rsidR="00EE3A11" w:rsidRPr="00A12DDE" w:rsidRDefault="00DE0917" w:rsidP="00B16145">
            <w:pPr>
              <w:keepNext/>
              <w:keepLines/>
              <w:rPr>
                <w:bCs/>
              </w:rPr>
            </w:pPr>
            <w:r w:rsidRPr="00A12DDE">
              <w:rPr>
                <w:bCs/>
              </w:rPr>
              <w:t xml:space="preserve">Email: </w:t>
            </w:r>
            <w:hyperlink r:id="rId11" w:history="1">
              <w:r w:rsidRPr="00A12DDE">
                <w:rPr>
                  <w:bCs/>
                  <w:color w:val="0000FF"/>
                  <w:u w:val="single"/>
                </w:rPr>
                <w:t>lee_chin_chian@nea.gov.sg</w:t>
              </w:r>
            </w:hyperlink>
          </w:p>
          <w:p w14:paraId="2554C1F2" w14:textId="77777777" w:rsidR="00EE3A11" w:rsidRPr="00A12DDE" w:rsidRDefault="009C390C" w:rsidP="00B16145">
            <w:pPr>
              <w:keepNext/>
              <w:keepLines/>
              <w:pBdr>
                <w:top w:val="none" w:sz="0" w:space="4" w:color="auto"/>
              </w:pBdr>
              <w:spacing w:after="120"/>
              <w:rPr>
                <w:bCs/>
              </w:rPr>
            </w:pPr>
            <w:hyperlink r:id="rId12" w:tgtFrame="_blank" w:history="1">
              <w:r w:rsidR="00DE0917" w:rsidRPr="00A12DDE">
                <w:rPr>
                  <w:bCs/>
                  <w:color w:val="0000FF"/>
                  <w:u w:val="single"/>
                </w:rPr>
                <w:t>https://members.wto.org/crnattachments/2024/TBT/SGP/24_05890_00_e.pdf</w:t>
              </w:r>
            </w:hyperlink>
          </w:p>
        </w:tc>
      </w:tr>
    </w:tbl>
    <w:p w14:paraId="26B1174A"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011B" w14:textId="77777777" w:rsidR="00DE0917" w:rsidRDefault="00DE0917">
      <w:r>
        <w:separator/>
      </w:r>
    </w:p>
  </w:endnote>
  <w:endnote w:type="continuationSeparator" w:id="0">
    <w:p w14:paraId="7BC5CF26" w14:textId="77777777" w:rsidR="00DE0917" w:rsidRDefault="00DE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C990" w14:textId="77777777" w:rsidR="009239F7" w:rsidRPr="002F6A28" w:rsidRDefault="00DE091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4CA0" w14:textId="77777777" w:rsidR="009239F7" w:rsidRPr="002F6A28" w:rsidRDefault="00DE091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6D5" w14:textId="77777777" w:rsidR="00EE3A11" w:rsidRPr="002F6A28" w:rsidRDefault="00DE091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FD9C" w14:textId="77777777" w:rsidR="00DE0917" w:rsidRDefault="00DE0917">
      <w:r>
        <w:separator/>
      </w:r>
    </w:p>
  </w:footnote>
  <w:footnote w:type="continuationSeparator" w:id="0">
    <w:p w14:paraId="35CDACD9" w14:textId="77777777" w:rsidR="00DE0917" w:rsidRDefault="00DE0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01C3" w14:textId="77777777" w:rsidR="009239F7" w:rsidRPr="002F6A28" w:rsidRDefault="00DE0917" w:rsidP="009239F7">
    <w:pPr>
      <w:pStyle w:val="Header"/>
      <w:pBdr>
        <w:bottom w:val="single" w:sz="4" w:space="1" w:color="auto"/>
      </w:pBdr>
      <w:tabs>
        <w:tab w:val="clear" w:pos="4513"/>
        <w:tab w:val="clear" w:pos="9027"/>
      </w:tabs>
      <w:jc w:val="center"/>
    </w:pPr>
    <w:r w:rsidRPr="002F6A28">
      <w:t>tbtSymbol</w:t>
    </w:r>
  </w:p>
  <w:p w14:paraId="792B8DCC" w14:textId="77777777" w:rsidR="009239F7" w:rsidRPr="002F6A28" w:rsidRDefault="009239F7" w:rsidP="009239F7">
    <w:pPr>
      <w:pStyle w:val="Header"/>
      <w:pBdr>
        <w:bottom w:val="single" w:sz="4" w:space="1" w:color="auto"/>
      </w:pBdr>
      <w:tabs>
        <w:tab w:val="clear" w:pos="4513"/>
        <w:tab w:val="clear" w:pos="9027"/>
      </w:tabs>
      <w:jc w:val="center"/>
    </w:pPr>
  </w:p>
  <w:p w14:paraId="16EBC3E6" w14:textId="77777777" w:rsidR="009239F7" w:rsidRPr="002F6A28" w:rsidRDefault="00DE091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C6FA8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B03E" w14:textId="77777777" w:rsidR="009239F7" w:rsidRPr="002F6A28" w:rsidRDefault="00DE0917" w:rsidP="009239F7">
    <w:pPr>
      <w:pStyle w:val="Header"/>
      <w:pBdr>
        <w:bottom w:val="single" w:sz="4" w:space="1" w:color="auto"/>
      </w:pBdr>
      <w:tabs>
        <w:tab w:val="clear" w:pos="4513"/>
        <w:tab w:val="clear" w:pos="9027"/>
      </w:tabs>
      <w:jc w:val="center"/>
    </w:pPr>
    <w:bookmarkStart w:id="0" w:name="spsSymbolHeader"/>
    <w:r w:rsidRPr="002F6A28">
      <w:t>G/TBT/N/SGP/73</w:t>
    </w:r>
    <w:bookmarkEnd w:id="0"/>
  </w:p>
  <w:p w14:paraId="3774F139" w14:textId="77777777" w:rsidR="009239F7" w:rsidRPr="002F6A28" w:rsidRDefault="009239F7" w:rsidP="009239F7">
    <w:pPr>
      <w:pStyle w:val="Header"/>
      <w:pBdr>
        <w:bottom w:val="single" w:sz="4" w:space="1" w:color="auto"/>
      </w:pBdr>
      <w:tabs>
        <w:tab w:val="clear" w:pos="4513"/>
        <w:tab w:val="clear" w:pos="9027"/>
      </w:tabs>
      <w:jc w:val="center"/>
    </w:pPr>
  </w:p>
  <w:p w14:paraId="1C56E21D" w14:textId="77777777" w:rsidR="009239F7" w:rsidRPr="002F6A28" w:rsidRDefault="00DE091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C2D342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317C" w14:paraId="78078B0D" w14:textId="77777777" w:rsidTr="008612A9">
      <w:trPr>
        <w:trHeight w:val="240"/>
        <w:jc w:val="center"/>
      </w:trPr>
      <w:tc>
        <w:tcPr>
          <w:tcW w:w="3794" w:type="dxa"/>
          <w:shd w:val="clear" w:color="auto" w:fill="FFFFFF"/>
          <w:tcMar>
            <w:left w:w="108" w:type="dxa"/>
            <w:right w:w="108" w:type="dxa"/>
          </w:tcMar>
          <w:vAlign w:val="center"/>
        </w:tcPr>
        <w:p w14:paraId="5397B79A"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E6B5E24" w14:textId="77777777" w:rsidR="00ED54E0" w:rsidRPr="009239F7" w:rsidRDefault="00ED54E0" w:rsidP="00B801E9">
          <w:pPr>
            <w:jc w:val="right"/>
            <w:rPr>
              <w:b/>
              <w:color w:val="FF0000"/>
              <w:szCs w:val="16"/>
            </w:rPr>
          </w:pPr>
        </w:p>
      </w:tc>
    </w:tr>
    <w:bookmarkEnd w:id="1"/>
    <w:tr w:rsidR="008D317C" w14:paraId="35992345" w14:textId="77777777" w:rsidTr="008612A9">
      <w:trPr>
        <w:trHeight w:val="213"/>
        <w:jc w:val="center"/>
      </w:trPr>
      <w:tc>
        <w:tcPr>
          <w:tcW w:w="3794" w:type="dxa"/>
          <w:vMerge w:val="restart"/>
          <w:shd w:val="clear" w:color="auto" w:fill="FFFFFF"/>
          <w:tcMar>
            <w:left w:w="0" w:type="dxa"/>
            <w:right w:w="0" w:type="dxa"/>
          </w:tcMar>
        </w:tcPr>
        <w:p w14:paraId="546E7B37" w14:textId="77777777" w:rsidR="00ED54E0" w:rsidRPr="009239F7" w:rsidRDefault="00DE0917" w:rsidP="00B801E9">
          <w:pPr>
            <w:jc w:val="left"/>
          </w:pPr>
          <w:r>
            <w:rPr>
              <w:noProof/>
              <w:lang w:eastAsia="en-GB"/>
            </w:rPr>
            <w:drawing>
              <wp:inline distT="0" distB="0" distL="0" distR="0" wp14:anchorId="735068CD" wp14:editId="6ED1728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832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79D2CF" w14:textId="77777777" w:rsidR="00ED54E0" w:rsidRPr="009239F7" w:rsidRDefault="00ED54E0" w:rsidP="00B801E9">
          <w:pPr>
            <w:jc w:val="right"/>
            <w:rPr>
              <w:b/>
              <w:szCs w:val="16"/>
            </w:rPr>
          </w:pPr>
        </w:p>
      </w:tc>
    </w:tr>
    <w:tr w:rsidR="008D317C" w14:paraId="5784B92E" w14:textId="77777777" w:rsidTr="008612A9">
      <w:trPr>
        <w:trHeight w:val="868"/>
        <w:jc w:val="center"/>
      </w:trPr>
      <w:tc>
        <w:tcPr>
          <w:tcW w:w="3794" w:type="dxa"/>
          <w:vMerge/>
          <w:shd w:val="clear" w:color="auto" w:fill="FFFFFF"/>
          <w:tcMar>
            <w:left w:w="108" w:type="dxa"/>
            <w:right w:w="108" w:type="dxa"/>
          </w:tcMar>
        </w:tcPr>
        <w:p w14:paraId="4EEAE04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3AA4E25" w14:textId="77777777" w:rsidR="009239F7" w:rsidRPr="002F6A28" w:rsidRDefault="00DE0917" w:rsidP="00B801E9">
          <w:pPr>
            <w:jc w:val="right"/>
            <w:rPr>
              <w:b/>
              <w:szCs w:val="16"/>
            </w:rPr>
          </w:pPr>
          <w:bookmarkStart w:id="2" w:name="bmkSymbols"/>
          <w:r w:rsidRPr="002F6A28">
            <w:rPr>
              <w:b/>
              <w:szCs w:val="16"/>
            </w:rPr>
            <w:t>G/TBT/N/SGP/73</w:t>
          </w:r>
          <w:bookmarkEnd w:id="2"/>
        </w:p>
      </w:tc>
    </w:tr>
    <w:tr w:rsidR="008D317C" w14:paraId="1E145E55" w14:textId="77777777" w:rsidTr="008612A9">
      <w:trPr>
        <w:trHeight w:val="240"/>
        <w:jc w:val="center"/>
      </w:trPr>
      <w:tc>
        <w:tcPr>
          <w:tcW w:w="3794" w:type="dxa"/>
          <w:vMerge/>
          <w:shd w:val="clear" w:color="auto" w:fill="FFFFFF"/>
          <w:tcMar>
            <w:left w:w="108" w:type="dxa"/>
            <w:right w:w="108" w:type="dxa"/>
          </w:tcMar>
          <w:vAlign w:val="center"/>
        </w:tcPr>
        <w:p w14:paraId="19C10E74" w14:textId="77777777" w:rsidR="00ED54E0" w:rsidRPr="009239F7" w:rsidRDefault="00ED54E0" w:rsidP="00B801E9"/>
      </w:tc>
      <w:tc>
        <w:tcPr>
          <w:tcW w:w="5448" w:type="dxa"/>
          <w:gridSpan w:val="2"/>
          <w:shd w:val="clear" w:color="auto" w:fill="FFFFFF"/>
          <w:tcMar>
            <w:left w:w="108" w:type="dxa"/>
            <w:right w:w="108" w:type="dxa"/>
          </w:tcMar>
          <w:vAlign w:val="center"/>
        </w:tcPr>
        <w:p w14:paraId="1E542B78" w14:textId="79070FB4" w:rsidR="00ED54E0" w:rsidRPr="009239F7" w:rsidRDefault="006A7A57" w:rsidP="00B801E9">
          <w:pPr>
            <w:jc w:val="right"/>
            <w:rPr>
              <w:szCs w:val="16"/>
            </w:rPr>
          </w:pPr>
          <w:bookmarkStart w:id="3" w:name="spsDateDistribution"/>
          <w:bookmarkStart w:id="4" w:name="bmkDate"/>
          <w:bookmarkEnd w:id="3"/>
          <w:bookmarkEnd w:id="4"/>
          <w:r>
            <w:rPr>
              <w:szCs w:val="16"/>
            </w:rPr>
            <w:t>10 September 2024</w:t>
          </w:r>
        </w:p>
      </w:tc>
    </w:tr>
    <w:tr w:rsidR="008D317C" w14:paraId="4616CDF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739E27" w14:textId="1E635CC4" w:rsidR="00ED54E0" w:rsidRPr="009239F7" w:rsidRDefault="00DE0917" w:rsidP="0097650D">
          <w:pPr>
            <w:jc w:val="left"/>
            <w:rPr>
              <w:b/>
            </w:rPr>
          </w:pPr>
          <w:bookmarkStart w:id="5" w:name="bmkSerial"/>
          <w:r w:rsidRPr="002F6A28">
            <w:rPr>
              <w:color w:val="FF0000"/>
              <w:szCs w:val="16"/>
            </w:rPr>
            <w:t>(</w:t>
          </w:r>
          <w:bookmarkStart w:id="6" w:name="spsSerialNumber"/>
          <w:bookmarkEnd w:id="6"/>
          <w:r w:rsidR="006A7A57">
            <w:rPr>
              <w:color w:val="FF0000"/>
              <w:szCs w:val="16"/>
            </w:rPr>
            <w:t>24-</w:t>
          </w:r>
          <w:r w:rsidR="009C390C">
            <w:rPr>
              <w:color w:val="FF0000"/>
              <w:szCs w:val="16"/>
            </w:rPr>
            <w:t>6236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0486E549" w14:textId="77777777" w:rsidR="00ED54E0" w:rsidRPr="009239F7" w:rsidRDefault="00DE0917"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8D317C" w14:paraId="572E299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E7D876" w14:textId="77777777" w:rsidR="00ED54E0" w:rsidRPr="009239F7" w:rsidRDefault="00DE0917"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0682A5E" w14:textId="77777777" w:rsidR="00ED54E0" w:rsidRPr="002F6A28" w:rsidRDefault="00DE0917"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0FE971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0D6728E">
      <w:start w:val="1"/>
      <w:numFmt w:val="decimal"/>
      <w:pStyle w:val="SummaryText"/>
      <w:lvlText w:val="%1."/>
      <w:lvlJc w:val="left"/>
      <w:pPr>
        <w:ind w:left="360" w:hanging="360"/>
      </w:pPr>
    </w:lvl>
    <w:lvl w:ilvl="1" w:tplc="0CD48518" w:tentative="1">
      <w:start w:val="1"/>
      <w:numFmt w:val="lowerLetter"/>
      <w:lvlText w:val="%2."/>
      <w:lvlJc w:val="left"/>
      <w:pPr>
        <w:ind w:left="1080" w:hanging="360"/>
      </w:pPr>
    </w:lvl>
    <w:lvl w:ilvl="2" w:tplc="5EDEC432" w:tentative="1">
      <w:start w:val="1"/>
      <w:numFmt w:val="lowerRoman"/>
      <w:lvlText w:val="%3."/>
      <w:lvlJc w:val="right"/>
      <w:pPr>
        <w:ind w:left="1800" w:hanging="180"/>
      </w:pPr>
    </w:lvl>
    <w:lvl w:ilvl="3" w:tplc="544C5E4A" w:tentative="1">
      <w:start w:val="1"/>
      <w:numFmt w:val="decimal"/>
      <w:lvlText w:val="%4."/>
      <w:lvlJc w:val="left"/>
      <w:pPr>
        <w:ind w:left="2520" w:hanging="360"/>
      </w:pPr>
    </w:lvl>
    <w:lvl w:ilvl="4" w:tplc="D0B68CE0" w:tentative="1">
      <w:start w:val="1"/>
      <w:numFmt w:val="lowerLetter"/>
      <w:lvlText w:val="%5."/>
      <w:lvlJc w:val="left"/>
      <w:pPr>
        <w:ind w:left="3240" w:hanging="360"/>
      </w:pPr>
    </w:lvl>
    <w:lvl w:ilvl="5" w:tplc="E2FA397E" w:tentative="1">
      <w:start w:val="1"/>
      <w:numFmt w:val="lowerRoman"/>
      <w:lvlText w:val="%6."/>
      <w:lvlJc w:val="right"/>
      <w:pPr>
        <w:ind w:left="3960" w:hanging="180"/>
      </w:pPr>
    </w:lvl>
    <w:lvl w:ilvl="6" w:tplc="07FEE94C" w:tentative="1">
      <w:start w:val="1"/>
      <w:numFmt w:val="decimal"/>
      <w:lvlText w:val="%7."/>
      <w:lvlJc w:val="left"/>
      <w:pPr>
        <w:ind w:left="4680" w:hanging="360"/>
      </w:pPr>
    </w:lvl>
    <w:lvl w:ilvl="7" w:tplc="C282A056" w:tentative="1">
      <w:start w:val="1"/>
      <w:numFmt w:val="lowerLetter"/>
      <w:lvlText w:val="%8."/>
      <w:lvlJc w:val="left"/>
      <w:pPr>
        <w:ind w:left="5400" w:hanging="360"/>
      </w:pPr>
    </w:lvl>
    <w:lvl w:ilvl="8" w:tplc="A7CE2B0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64C5B4C">
      <w:start w:val="1"/>
      <w:numFmt w:val="bullet"/>
      <w:lvlText w:val=""/>
      <w:lvlJc w:val="left"/>
      <w:pPr>
        <w:ind w:left="720" w:hanging="360"/>
      </w:pPr>
      <w:rPr>
        <w:rFonts w:ascii="Symbol" w:hAnsi="Symbol"/>
      </w:rPr>
    </w:lvl>
    <w:lvl w:ilvl="1" w:tplc="0F626F0A">
      <w:start w:val="1"/>
      <w:numFmt w:val="bullet"/>
      <w:lvlText w:val="o"/>
      <w:lvlJc w:val="left"/>
      <w:pPr>
        <w:ind w:left="1440" w:hanging="360"/>
      </w:pPr>
      <w:rPr>
        <w:rFonts w:ascii="Courier New" w:hAnsi="Courier New"/>
      </w:rPr>
    </w:lvl>
    <w:lvl w:ilvl="2" w:tplc="4866EEE2">
      <w:start w:val="1"/>
      <w:numFmt w:val="bullet"/>
      <w:lvlText w:val=""/>
      <w:lvlJc w:val="left"/>
      <w:pPr>
        <w:tabs>
          <w:tab w:val="num" w:pos="2160"/>
        </w:tabs>
        <w:ind w:left="2160" w:hanging="360"/>
      </w:pPr>
      <w:rPr>
        <w:rFonts w:ascii="Wingdings" w:hAnsi="Wingdings"/>
      </w:rPr>
    </w:lvl>
    <w:lvl w:ilvl="3" w:tplc="F2CC009C">
      <w:start w:val="1"/>
      <w:numFmt w:val="bullet"/>
      <w:lvlText w:val=""/>
      <w:lvlJc w:val="left"/>
      <w:pPr>
        <w:tabs>
          <w:tab w:val="num" w:pos="2880"/>
        </w:tabs>
        <w:ind w:left="2880" w:hanging="360"/>
      </w:pPr>
      <w:rPr>
        <w:rFonts w:ascii="Symbol" w:hAnsi="Symbol"/>
      </w:rPr>
    </w:lvl>
    <w:lvl w:ilvl="4" w:tplc="BB263192">
      <w:start w:val="1"/>
      <w:numFmt w:val="bullet"/>
      <w:lvlText w:val="o"/>
      <w:lvlJc w:val="left"/>
      <w:pPr>
        <w:tabs>
          <w:tab w:val="num" w:pos="3600"/>
        </w:tabs>
        <w:ind w:left="3600" w:hanging="360"/>
      </w:pPr>
      <w:rPr>
        <w:rFonts w:ascii="Courier New" w:hAnsi="Courier New"/>
      </w:rPr>
    </w:lvl>
    <w:lvl w:ilvl="5" w:tplc="11566152">
      <w:start w:val="1"/>
      <w:numFmt w:val="bullet"/>
      <w:lvlText w:val=""/>
      <w:lvlJc w:val="left"/>
      <w:pPr>
        <w:tabs>
          <w:tab w:val="num" w:pos="4320"/>
        </w:tabs>
        <w:ind w:left="4320" w:hanging="360"/>
      </w:pPr>
      <w:rPr>
        <w:rFonts w:ascii="Wingdings" w:hAnsi="Wingdings"/>
      </w:rPr>
    </w:lvl>
    <w:lvl w:ilvl="6" w:tplc="130C0B0E">
      <w:start w:val="1"/>
      <w:numFmt w:val="bullet"/>
      <w:lvlText w:val=""/>
      <w:lvlJc w:val="left"/>
      <w:pPr>
        <w:tabs>
          <w:tab w:val="num" w:pos="5040"/>
        </w:tabs>
        <w:ind w:left="5040" w:hanging="360"/>
      </w:pPr>
      <w:rPr>
        <w:rFonts w:ascii="Symbol" w:hAnsi="Symbol"/>
      </w:rPr>
    </w:lvl>
    <w:lvl w:ilvl="7" w:tplc="6790664A">
      <w:start w:val="1"/>
      <w:numFmt w:val="bullet"/>
      <w:lvlText w:val="o"/>
      <w:lvlJc w:val="left"/>
      <w:pPr>
        <w:tabs>
          <w:tab w:val="num" w:pos="5760"/>
        </w:tabs>
        <w:ind w:left="5760" w:hanging="360"/>
      </w:pPr>
      <w:rPr>
        <w:rFonts w:ascii="Courier New" w:hAnsi="Courier New"/>
      </w:rPr>
    </w:lvl>
    <w:lvl w:ilvl="8" w:tplc="A634AC82">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22D22BEA">
      <w:start w:val="1"/>
      <w:numFmt w:val="bullet"/>
      <w:lvlText w:val=""/>
      <w:lvlJc w:val="left"/>
      <w:pPr>
        <w:ind w:left="720" w:hanging="360"/>
      </w:pPr>
      <w:rPr>
        <w:rFonts w:ascii="Symbol" w:hAnsi="Symbol"/>
      </w:rPr>
    </w:lvl>
    <w:lvl w:ilvl="1" w:tplc="23BEBC7A">
      <w:start w:val="1"/>
      <w:numFmt w:val="bullet"/>
      <w:lvlText w:val="o"/>
      <w:lvlJc w:val="left"/>
      <w:pPr>
        <w:ind w:left="1440" w:hanging="360"/>
      </w:pPr>
      <w:rPr>
        <w:rFonts w:ascii="Courier New" w:hAnsi="Courier New"/>
      </w:rPr>
    </w:lvl>
    <w:lvl w:ilvl="2" w:tplc="10DE65BE">
      <w:start w:val="1"/>
      <w:numFmt w:val="bullet"/>
      <w:lvlText w:val=""/>
      <w:lvlJc w:val="left"/>
      <w:pPr>
        <w:ind w:left="2160" w:hanging="360"/>
      </w:pPr>
      <w:rPr>
        <w:rFonts w:ascii="Wingdings" w:hAnsi="Wingdings"/>
      </w:rPr>
    </w:lvl>
    <w:lvl w:ilvl="3" w:tplc="B30A0460">
      <w:start w:val="1"/>
      <w:numFmt w:val="bullet"/>
      <w:lvlText w:val=""/>
      <w:lvlJc w:val="left"/>
      <w:pPr>
        <w:tabs>
          <w:tab w:val="num" w:pos="2880"/>
        </w:tabs>
        <w:ind w:left="2880" w:hanging="360"/>
      </w:pPr>
      <w:rPr>
        <w:rFonts w:ascii="Symbol" w:hAnsi="Symbol"/>
      </w:rPr>
    </w:lvl>
    <w:lvl w:ilvl="4" w:tplc="1790386A">
      <w:start w:val="1"/>
      <w:numFmt w:val="bullet"/>
      <w:lvlText w:val="o"/>
      <w:lvlJc w:val="left"/>
      <w:pPr>
        <w:tabs>
          <w:tab w:val="num" w:pos="3600"/>
        </w:tabs>
        <w:ind w:left="3600" w:hanging="360"/>
      </w:pPr>
      <w:rPr>
        <w:rFonts w:ascii="Courier New" w:hAnsi="Courier New"/>
      </w:rPr>
    </w:lvl>
    <w:lvl w:ilvl="5" w:tplc="8A7093F0">
      <w:start w:val="1"/>
      <w:numFmt w:val="bullet"/>
      <w:lvlText w:val=""/>
      <w:lvlJc w:val="left"/>
      <w:pPr>
        <w:tabs>
          <w:tab w:val="num" w:pos="4320"/>
        </w:tabs>
        <w:ind w:left="4320" w:hanging="360"/>
      </w:pPr>
      <w:rPr>
        <w:rFonts w:ascii="Wingdings" w:hAnsi="Wingdings"/>
      </w:rPr>
    </w:lvl>
    <w:lvl w:ilvl="6" w:tplc="CF8E2F0E">
      <w:start w:val="1"/>
      <w:numFmt w:val="bullet"/>
      <w:lvlText w:val=""/>
      <w:lvlJc w:val="left"/>
      <w:pPr>
        <w:tabs>
          <w:tab w:val="num" w:pos="5040"/>
        </w:tabs>
        <w:ind w:left="5040" w:hanging="360"/>
      </w:pPr>
      <w:rPr>
        <w:rFonts w:ascii="Symbol" w:hAnsi="Symbol"/>
      </w:rPr>
    </w:lvl>
    <w:lvl w:ilvl="7" w:tplc="AE7C816E">
      <w:start w:val="1"/>
      <w:numFmt w:val="bullet"/>
      <w:lvlText w:val="o"/>
      <w:lvlJc w:val="left"/>
      <w:pPr>
        <w:tabs>
          <w:tab w:val="num" w:pos="5760"/>
        </w:tabs>
        <w:ind w:left="5760" w:hanging="360"/>
      </w:pPr>
      <w:rPr>
        <w:rFonts w:ascii="Courier New" w:hAnsi="Courier New"/>
      </w:rPr>
    </w:lvl>
    <w:lvl w:ilvl="8" w:tplc="DE3665F6">
      <w:start w:val="1"/>
      <w:numFmt w:val="bullet"/>
      <w:lvlText w:val=""/>
      <w:lvlJc w:val="left"/>
      <w:pPr>
        <w:tabs>
          <w:tab w:val="num" w:pos="6480"/>
        </w:tabs>
        <w:ind w:left="6480" w:hanging="360"/>
      </w:pPr>
      <w:rPr>
        <w:rFonts w:ascii="Wingdings" w:hAnsi="Wingdings"/>
      </w:rPr>
    </w:lvl>
  </w:abstractNum>
  <w:num w:numId="1" w16cid:durableId="903755053">
    <w:abstractNumId w:val="9"/>
  </w:num>
  <w:num w:numId="2" w16cid:durableId="1376810281">
    <w:abstractNumId w:val="7"/>
  </w:num>
  <w:num w:numId="3" w16cid:durableId="1941908156">
    <w:abstractNumId w:val="6"/>
  </w:num>
  <w:num w:numId="4" w16cid:durableId="100271824">
    <w:abstractNumId w:val="5"/>
  </w:num>
  <w:num w:numId="5" w16cid:durableId="123740284">
    <w:abstractNumId w:val="4"/>
  </w:num>
  <w:num w:numId="6" w16cid:durableId="200409691">
    <w:abstractNumId w:val="12"/>
  </w:num>
  <w:num w:numId="7" w16cid:durableId="3291162">
    <w:abstractNumId w:val="11"/>
  </w:num>
  <w:num w:numId="8" w16cid:durableId="127095553">
    <w:abstractNumId w:val="10"/>
  </w:num>
  <w:num w:numId="9" w16cid:durableId="18235419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484352">
    <w:abstractNumId w:val="13"/>
  </w:num>
  <w:num w:numId="11" w16cid:durableId="232280310">
    <w:abstractNumId w:val="8"/>
  </w:num>
  <w:num w:numId="12" w16cid:durableId="1736539355">
    <w:abstractNumId w:val="3"/>
  </w:num>
  <w:num w:numId="13" w16cid:durableId="42601033">
    <w:abstractNumId w:val="2"/>
  </w:num>
  <w:num w:numId="14" w16cid:durableId="1408069548">
    <w:abstractNumId w:val="1"/>
  </w:num>
  <w:num w:numId="15" w16cid:durableId="1097949076">
    <w:abstractNumId w:val="0"/>
  </w:num>
  <w:num w:numId="16" w16cid:durableId="746001983">
    <w:abstractNumId w:val="14"/>
  </w:num>
  <w:num w:numId="17" w16cid:durableId="19423728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A7A57"/>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317C"/>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C390C"/>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0917"/>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7090B"/>
    <w:rsid w:val="00F85C99"/>
    <w:rsid w:val="00F85CDF"/>
    <w:rsid w:val="00F94BE1"/>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SGP/24_05890_00_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e_chin_chian@nea.gov.s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so.agc.gov.sg/Act/HWCEITA1997"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sel.int/TheConvention/Overview/TextoftheConvention/tabid/1275/Default.asp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5C7D31CE-3C74-4DD5-AB59-DF9F49B2380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4</TotalTime>
  <Pages>3</Pages>
  <Words>872</Words>
  <Characters>5028</Characters>
  <Application>Microsoft Office Word</Application>
  <DocSecurity>0</DocSecurity>
  <Lines>122</Lines>
  <Paragraphs>61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2024-09-10T10:13:00Z</dcterms:created>
  <dcterms:modified xsi:type="dcterms:W3CDTF">2024-09-10T10:32:00Z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