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F49" w14:textId="243C2E9F" w:rsidR="002D78C9" w:rsidRDefault="00633298" w:rsidP="00CE1462">
      <w:pPr>
        <w:pStyle w:val="Title"/>
        <w:tabs>
          <w:tab w:val="left" w:pos="2736"/>
          <w:tab w:val="center" w:pos="4513"/>
        </w:tabs>
      </w:pPr>
      <w:r w:rsidRPr="002F663C">
        <w:t>NOTIFICATION</w:t>
      </w:r>
    </w:p>
    <w:p w14:paraId="5D1A7950" w14:textId="77777777" w:rsidR="002F663C" w:rsidRPr="002F663C" w:rsidRDefault="00633298" w:rsidP="00DD3DD7">
      <w:pPr>
        <w:pStyle w:val="Title3"/>
      </w:pPr>
      <w:r w:rsidRPr="002F663C">
        <w:t>Addendum</w:t>
      </w:r>
    </w:p>
    <w:p w14:paraId="5BACCB13" w14:textId="77777777" w:rsidR="002F663C" w:rsidRDefault="0063329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10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Singapore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EF79004" w14:textId="77777777" w:rsidR="001E2E4A" w:rsidRPr="002F663C" w:rsidRDefault="001E2E4A" w:rsidP="001E2E4A">
      <w:pPr>
        <w:rPr>
          <w:rFonts w:eastAsia="Calibri" w:cs="Times New Roman"/>
        </w:rPr>
      </w:pPr>
    </w:p>
    <w:p w14:paraId="4A5CA373" w14:textId="77777777" w:rsidR="002F663C" w:rsidRPr="002F663C" w:rsidRDefault="0063329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EF73CE1" w14:textId="77777777" w:rsidR="002F663C" w:rsidRDefault="002F663C" w:rsidP="002F663C">
      <w:pPr>
        <w:rPr>
          <w:rFonts w:eastAsia="Calibri" w:cs="Times New Roman"/>
        </w:rPr>
      </w:pPr>
    </w:p>
    <w:p w14:paraId="4DE7763A" w14:textId="77777777" w:rsidR="00C14444" w:rsidRPr="002F663C" w:rsidRDefault="00C14444" w:rsidP="002F663C">
      <w:pPr>
        <w:rPr>
          <w:rFonts w:eastAsia="Calibri" w:cs="Times New Roman"/>
        </w:rPr>
      </w:pPr>
    </w:p>
    <w:p w14:paraId="43AF7DE4" w14:textId="77777777" w:rsidR="002F663C" w:rsidRPr="002F663C" w:rsidRDefault="0063329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Proposed Control of Chemicals Under Review by Multilateral Environmental Agreements</w:t>
      </w:r>
      <w:bookmarkEnd w:id="3"/>
    </w:p>
    <w:p w14:paraId="3E7D601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41635" w14:paraId="321308E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ADCC233" w14:textId="77777777" w:rsidR="002F663C" w:rsidRPr="002F663C" w:rsidRDefault="0063329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41635" w14:paraId="18F0C240" w14:textId="77777777" w:rsidTr="00E9471B">
        <w:tc>
          <w:tcPr>
            <w:tcW w:w="851" w:type="dxa"/>
            <w:shd w:val="clear" w:color="auto" w:fill="auto"/>
          </w:tcPr>
          <w:p w14:paraId="1F4A433E" w14:textId="77777777" w:rsidR="002F663C" w:rsidRPr="00711F9C" w:rsidRDefault="006332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025E83" w14:textId="77777777" w:rsidR="002F663C" w:rsidRPr="002F663C" w:rsidRDefault="00633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41635" w14:paraId="197FF574" w14:textId="77777777" w:rsidTr="00E9471B">
        <w:tc>
          <w:tcPr>
            <w:tcW w:w="851" w:type="dxa"/>
            <w:shd w:val="clear" w:color="auto" w:fill="auto"/>
          </w:tcPr>
          <w:p w14:paraId="6758D210" w14:textId="77777777" w:rsidR="002F663C" w:rsidRPr="00711F9C" w:rsidRDefault="00633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7F8E39" w14:textId="77777777" w:rsidR="002F663C" w:rsidRPr="002F663C" w:rsidRDefault="00633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10 May 2022</w:t>
            </w:r>
            <w:bookmarkEnd w:id="8"/>
          </w:p>
        </w:tc>
      </w:tr>
      <w:tr w:rsidR="00C41635" w14:paraId="0289328D" w14:textId="77777777" w:rsidTr="00E9471B">
        <w:tc>
          <w:tcPr>
            <w:tcW w:w="851" w:type="dxa"/>
            <w:shd w:val="clear" w:color="auto" w:fill="auto"/>
          </w:tcPr>
          <w:p w14:paraId="5CF82753" w14:textId="77777777" w:rsidR="002F663C" w:rsidRPr="00711F9C" w:rsidRDefault="00633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09803B" w14:textId="77777777" w:rsidR="002F663C" w:rsidRPr="002F663C" w:rsidRDefault="00633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31 May 2022</w:t>
            </w:r>
            <w:bookmarkEnd w:id="10"/>
          </w:p>
        </w:tc>
      </w:tr>
      <w:tr w:rsidR="00C41635" w14:paraId="2E1D4C6B" w14:textId="77777777" w:rsidTr="00E9471B">
        <w:tc>
          <w:tcPr>
            <w:tcW w:w="851" w:type="dxa"/>
            <w:shd w:val="clear" w:color="auto" w:fill="auto"/>
          </w:tcPr>
          <w:p w14:paraId="6464F9E7" w14:textId="77777777" w:rsidR="002F663C" w:rsidRPr="00711F9C" w:rsidRDefault="00633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D3F2FB" w14:textId="77777777" w:rsidR="002F663C" w:rsidRPr="002F663C" w:rsidRDefault="00633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March 2023</w:t>
            </w:r>
            <w:bookmarkEnd w:id="12"/>
          </w:p>
        </w:tc>
      </w:tr>
      <w:tr w:rsidR="00C41635" w14:paraId="0A733B0C" w14:textId="77777777" w:rsidTr="00E9471B">
        <w:tc>
          <w:tcPr>
            <w:tcW w:w="851" w:type="dxa"/>
            <w:shd w:val="clear" w:color="auto" w:fill="auto"/>
          </w:tcPr>
          <w:p w14:paraId="3509786B" w14:textId="77777777" w:rsidR="002F663C" w:rsidRPr="00711F9C" w:rsidRDefault="00633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5D68A7" w14:textId="77777777" w:rsidR="002F663C" w:rsidRPr="002F663C" w:rsidRDefault="00633298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584A8F4" w14:textId="77777777" w:rsidR="002F663C" w:rsidRPr="002F663C" w:rsidRDefault="00972C96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633298" w:rsidRPr="002F663C">
                <w:rPr>
                  <w:rFonts w:eastAsia="Calibri" w:cs="Times New Roman"/>
                  <w:color w:val="0000FF"/>
                  <w:u w:val="single"/>
                </w:rPr>
                <w:t>https://sso.agc.gov.sg//Act/EPMA1999</w:t>
              </w:r>
            </w:hyperlink>
          </w:p>
          <w:p w14:paraId="2D529420" w14:textId="77777777" w:rsidR="002F663C" w:rsidRPr="002F663C" w:rsidRDefault="00972C96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633298" w:rsidRPr="002F663C">
                <w:rPr>
                  <w:rFonts w:eastAsia="Calibri" w:cs="Times New Roman"/>
                  <w:color w:val="0000FF"/>
                  <w:u w:val="single"/>
                </w:rPr>
                <w:t>https://sso.agc.gov.sg//SL/94A-RG4?DocDate=20220531</w:t>
              </w:r>
            </w:hyperlink>
          </w:p>
          <w:p w14:paraId="5409504A" w14:textId="77777777" w:rsidR="002F663C" w:rsidRPr="002F663C" w:rsidRDefault="00972C96" w:rsidP="00EB7B40">
            <w:pPr>
              <w:rPr>
                <w:rFonts w:eastAsia="Calibri" w:cs="Times New Roman"/>
              </w:rPr>
            </w:pPr>
            <w:hyperlink r:id="rId10" w:tgtFrame="_blank" w:history="1">
              <w:r w:rsidR="00633298" w:rsidRPr="002F663C">
                <w:rPr>
                  <w:rFonts w:eastAsia="Calibri" w:cs="Times New Roman"/>
                  <w:color w:val="0000FF"/>
                  <w:u w:val="single"/>
                </w:rPr>
                <w:t>https://sso.agc.gov.sg//SL-Supp/S436-2022/Published/20220531?DocDate=20220531</w:t>
              </w:r>
            </w:hyperlink>
          </w:p>
          <w:p w14:paraId="0459F75C" w14:textId="77777777" w:rsidR="002F663C" w:rsidRPr="002F663C" w:rsidRDefault="00972C96" w:rsidP="00EB7B40">
            <w:pPr>
              <w:spacing w:after="120"/>
              <w:rPr>
                <w:rFonts w:eastAsia="Calibri" w:cs="Times New Roman"/>
              </w:rPr>
            </w:pPr>
            <w:hyperlink r:id="rId11" w:tgtFrame="_blank" w:history="1">
              <w:r w:rsidR="00633298" w:rsidRPr="002F663C">
                <w:rPr>
                  <w:rFonts w:eastAsia="Calibri" w:cs="Times New Roman"/>
                  <w:color w:val="0000FF"/>
                  <w:u w:val="single"/>
                </w:rPr>
                <w:t>https://sso.agc.gov.sg//SL-Supp/S435-2022/Published/20220531?DocDate=20220531</w:t>
              </w:r>
            </w:hyperlink>
            <w:bookmarkEnd w:id="15"/>
          </w:p>
        </w:tc>
      </w:tr>
      <w:tr w:rsidR="00C41635" w14:paraId="1A05E7FA" w14:textId="77777777" w:rsidTr="00E9471B">
        <w:tc>
          <w:tcPr>
            <w:tcW w:w="851" w:type="dxa"/>
            <w:shd w:val="clear" w:color="auto" w:fill="auto"/>
          </w:tcPr>
          <w:p w14:paraId="01ACFECD" w14:textId="77777777" w:rsidR="002F663C" w:rsidRPr="00711F9C" w:rsidRDefault="00633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B79DDE" w14:textId="77777777" w:rsidR="002F663C" w:rsidRPr="002F663C" w:rsidRDefault="00633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3302B9C" w14:textId="77777777" w:rsidR="002F663C" w:rsidRPr="002F663C" w:rsidRDefault="0063329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41635" w14:paraId="72C6B59A" w14:textId="77777777" w:rsidTr="00E9471B">
        <w:tc>
          <w:tcPr>
            <w:tcW w:w="851" w:type="dxa"/>
            <w:shd w:val="clear" w:color="auto" w:fill="auto"/>
          </w:tcPr>
          <w:p w14:paraId="6FA10F4D" w14:textId="77777777" w:rsidR="002F663C" w:rsidRPr="00711F9C" w:rsidRDefault="00633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D4E0A1" w14:textId="77777777" w:rsidR="002F663C" w:rsidRPr="002F663C" w:rsidRDefault="00633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1BA4A71" w14:textId="77777777" w:rsidR="002F663C" w:rsidRPr="002F663C" w:rsidRDefault="0063329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41635" w14:paraId="2B205EEC" w14:textId="77777777" w:rsidTr="00E9471B">
        <w:tc>
          <w:tcPr>
            <w:tcW w:w="851" w:type="dxa"/>
            <w:shd w:val="clear" w:color="auto" w:fill="auto"/>
          </w:tcPr>
          <w:p w14:paraId="4C31CC02" w14:textId="77777777" w:rsidR="002F663C" w:rsidRPr="00711F9C" w:rsidRDefault="006332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6C3455" w14:textId="77777777" w:rsidR="002F663C" w:rsidRPr="002F663C" w:rsidRDefault="0063329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41635" w14:paraId="0BBF25F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3E64680" w14:textId="77777777" w:rsidR="002F663C" w:rsidRPr="00711F9C" w:rsidRDefault="006332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42B49E9" w14:textId="77777777" w:rsidR="002F663C" w:rsidRPr="002F663C" w:rsidRDefault="00633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F20690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969BB0F" w14:textId="77777777" w:rsidR="008D4943" w:rsidRDefault="00633298" w:rsidP="008D4943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On 7 February 2022, the National Environment Agency (NEA) of Singapore notified the WTO TBT Committee (G/TBT/N/</w:t>
      </w:r>
      <w:proofErr w:type="spellStart"/>
      <w:r w:rsidRPr="002F663C">
        <w:rPr>
          <w:rFonts w:eastAsia="Calibri" w:cs="Times New Roman"/>
          <w:szCs w:val="18"/>
        </w:rPr>
        <w:t>SGP</w:t>
      </w:r>
      <w:proofErr w:type="spellEnd"/>
      <w:r w:rsidRPr="002F663C">
        <w:rPr>
          <w:rFonts w:eastAsia="Calibri" w:cs="Times New Roman"/>
          <w:szCs w:val="18"/>
        </w:rPr>
        <w:t>/63) of its intention to control 5 new chemicals as Hazardous Substances (HS) under the Environmental Protection and Management Act (</w:t>
      </w:r>
      <w:proofErr w:type="spellStart"/>
      <w:r w:rsidRPr="002F663C">
        <w:rPr>
          <w:rFonts w:eastAsia="Calibri" w:cs="Times New Roman"/>
          <w:szCs w:val="18"/>
        </w:rPr>
        <w:t>EPMA</w:t>
      </w:r>
      <w:proofErr w:type="spellEnd"/>
      <w:r w:rsidRPr="002F663C">
        <w:rPr>
          <w:rFonts w:eastAsia="Calibri" w:cs="Times New Roman"/>
          <w:szCs w:val="18"/>
        </w:rPr>
        <w:t xml:space="preserve">) and </w:t>
      </w:r>
      <w:proofErr w:type="spellStart"/>
      <w:r w:rsidRPr="002F663C">
        <w:rPr>
          <w:rFonts w:eastAsia="Calibri" w:cs="Times New Roman"/>
          <w:szCs w:val="18"/>
        </w:rPr>
        <w:t>EPM</w:t>
      </w:r>
      <w:proofErr w:type="spellEnd"/>
      <w:r w:rsidRPr="002F663C">
        <w:rPr>
          <w:rFonts w:eastAsia="Calibri" w:cs="Times New Roman"/>
          <w:szCs w:val="18"/>
        </w:rPr>
        <w:t xml:space="preserve"> (Hazardous Substances) Regulations (</w:t>
      </w:r>
      <w:proofErr w:type="spellStart"/>
      <w:r w:rsidRPr="002F663C">
        <w:rPr>
          <w:rFonts w:eastAsia="Calibri" w:cs="Times New Roman"/>
          <w:szCs w:val="18"/>
        </w:rPr>
        <w:t>EPM</w:t>
      </w:r>
      <w:proofErr w:type="spellEnd"/>
      <w:r w:rsidRPr="002F663C">
        <w:rPr>
          <w:rFonts w:eastAsia="Calibri" w:cs="Times New Roman"/>
          <w:szCs w:val="18"/>
        </w:rPr>
        <w:t>(HS) Regs). Importers, manufacturers and distributors of these chemicals and products containing these chemicals will then be required to apply for a HS licence/permit for the import, export, sale, store and use of the chemicals. These 5 new chemicals are identified by the Stockholm Convention and Rotterdam Convention for review and are as follows:</w:t>
      </w:r>
    </w:p>
    <w:tbl>
      <w:tblPr>
        <w:tblpPr w:leftFromText="180" w:rightFromText="180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C41635" w14:paraId="56362C24" w14:textId="77777777" w:rsidTr="0008458E">
        <w:trPr>
          <w:trHeight w:val="446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0AE9" w14:textId="77777777" w:rsidR="008D4943" w:rsidRPr="00551707" w:rsidRDefault="00633298" w:rsidP="0008458E">
            <w:pPr>
              <w:ind w:right="-120"/>
              <w:jc w:val="center"/>
              <w:rPr>
                <w:rFonts w:cs="Arial"/>
                <w:b/>
              </w:rPr>
            </w:pPr>
            <w:r w:rsidRPr="00551707">
              <w:rPr>
                <w:rFonts w:cs="Arial"/>
                <w:b/>
              </w:rPr>
              <w:t>Conventions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C06" w14:textId="77777777" w:rsidR="008D4943" w:rsidRPr="00551707" w:rsidRDefault="00633298" w:rsidP="0008458E">
            <w:pPr>
              <w:ind w:right="-104"/>
              <w:jc w:val="center"/>
              <w:rPr>
                <w:rFonts w:cs="Arial"/>
                <w:b/>
              </w:rPr>
            </w:pPr>
            <w:r w:rsidRPr="00551707">
              <w:rPr>
                <w:rFonts w:cs="Arial"/>
                <w:b/>
              </w:rPr>
              <w:t>Stockholm Convention (SC)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B27" w14:textId="77777777" w:rsidR="008D4943" w:rsidRPr="00551707" w:rsidRDefault="00633298" w:rsidP="0008458E">
            <w:pPr>
              <w:ind w:right="175"/>
              <w:jc w:val="center"/>
              <w:rPr>
                <w:rFonts w:cs="Arial"/>
                <w:b/>
              </w:rPr>
            </w:pPr>
            <w:r w:rsidRPr="00551707">
              <w:rPr>
                <w:rFonts w:cs="Arial"/>
                <w:b/>
              </w:rPr>
              <w:t>Rotterdam Convention (RC)</w:t>
            </w:r>
          </w:p>
        </w:tc>
      </w:tr>
      <w:tr w:rsidR="00C41635" w14:paraId="378D9300" w14:textId="77777777" w:rsidTr="0008458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B06" w14:textId="77777777" w:rsidR="008D4943" w:rsidRPr="00551707" w:rsidRDefault="00633298" w:rsidP="0008458E">
            <w:pPr>
              <w:jc w:val="center"/>
              <w:rPr>
                <w:rFonts w:cs="Arial"/>
                <w:b/>
              </w:rPr>
            </w:pPr>
            <w:r w:rsidRPr="00551707">
              <w:rPr>
                <w:rFonts w:cs="Arial"/>
                <w:b/>
              </w:rPr>
              <w:t>Proposed Chemicals for Control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1F3D" w14:textId="77777777" w:rsidR="008D4943" w:rsidRPr="00551707" w:rsidRDefault="00633298" w:rsidP="0008458E">
            <w:pPr>
              <w:ind w:right="607"/>
              <w:jc w:val="left"/>
              <w:rPr>
                <w:rFonts w:cs="Arial"/>
                <w:u w:val="single"/>
              </w:rPr>
            </w:pPr>
            <w:r w:rsidRPr="00551707">
              <w:rPr>
                <w:rFonts w:cs="Arial"/>
                <w:u w:val="single"/>
              </w:rPr>
              <w:t>Industrial Chemicals</w:t>
            </w:r>
          </w:p>
          <w:p w14:paraId="7A823CF3" w14:textId="77777777" w:rsidR="008D4943" w:rsidRPr="00551707" w:rsidRDefault="00633298" w:rsidP="008D4943">
            <w:pPr>
              <w:numPr>
                <w:ilvl w:val="0"/>
                <w:numId w:val="18"/>
              </w:numPr>
              <w:jc w:val="left"/>
              <w:rPr>
                <w:rFonts w:cs="Arial"/>
              </w:rPr>
            </w:pPr>
            <w:r w:rsidRPr="00551707">
              <w:rPr>
                <w:rFonts w:cs="Arial"/>
              </w:rPr>
              <w:t>Dechlorane Plus (DP)</w:t>
            </w:r>
          </w:p>
          <w:p w14:paraId="716935A7" w14:textId="77777777" w:rsidR="008D4943" w:rsidRPr="00551707" w:rsidRDefault="00633298" w:rsidP="008D4943">
            <w:pPr>
              <w:pStyle w:val="ListParagraph"/>
              <w:numPr>
                <w:ilvl w:val="0"/>
                <w:numId w:val="18"/>
              </w:numPr>
              <w:spacing w:after="120"/>
              <w:ind w:right="607"/>
              <w:contextualSpacing w:val="0"/>
              <w:jc w:val="left"/>
              <w:rPr>
                <w:rFonts w:cs="Arial"/>
              </w:rPr>
            </w:pPr>
            <w:r w:rsidRPr="00551707">
              <w:lastRenderedPageBreak/>
              <w:t>UV-328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3FC7" w14:textId="77777777" w:rsidR="008D4943" w:rsidRPr="00551707" w:rsidRDefault="00633298" w:rsidP="0008458E">
            <w:pPr>
              <w:jc w:val="left"/>
              <w:rPr>
                <w:rFonts w:cs="Arial"/>
                <w:u w:val="single"/>
              </w:rPr>
            </w:pPr>
            <w:r w:rsidRPr="00551707">
              <w:rPr>
                <w:rFonts w:cs="Arial"/>
                <w:u w:val="single"/>
              </w:rPr>
              <w:lastRenderedPageBreak/>
              <w:t>Industrial Chemicals / Pesticide/ Insecticides / Herbicides</w:t>
            </w:r>
          </w:p>
          <w:p w14:paraId="5E6795B9" w14:textId="77777777" w:rsidR="008D4943" w:rsidRPr="00551707" w:rsidRDefault="00633298" w:rsidP="008D4943">
            <w:pPr>
              <w:pStyle w:val="ListParagraph"/>
              <w:numPr>
                <w:ilvl w:val="0"/>
                <w:numId w:val="17"/>
              </w:numPr>
              <w:spacing w:line="252" w:lineRule="auto"/>
              <w:contextualSpacing w:val="0"/>
              <w:jc w:val="left"/>
            </w:pPr>
            <w:r w:rsidRPr="00551707">
              <w:lastRenderedPageBreak/>
              <w:t>Amitrole</w:t>
            </w:r>
          </w:p>
          <w:p w14:paraId="46E7D1B8" w14:textId="77777777" w:rsidR="008D4943" w:rsidRPr="00551707" w:rsidRDefault="00633298" w:rsidP="008D4943">
            <w:pPr>
              <w:pStyle w:val="ListParagraph"/>
              <w:numPr>
                <w:ilvl w:val="0"/>
                <w:numId w:val="17"/>
              </w:numPr>
              <w:spacing w:line="252" w:lineRule="auto"/>
              <w:contextualSpacing w:val="0"/>
              <w:jc w:val="left"/>
              <w:rPr>
                <w:rFonts w:cs="Arial"/>
              </w:rPr>
            </w:pPr>
            <w:r w:rsidRPr="00551707">
              <w:t>Nonylphenol (NP) and Nonylphenol Ethoxylates (</w:t>
            </w:r>
            <w:proofErr w:type="spellStart"/>
            <w:r w:rsidRPr="00551707">
              <w:t>NPE</w:t>
            </w:r>
            <w:proofErr w:type="spellEnd"/>
            <w:r w:rsidRPr="00551707">
              <w:t>)</w:t>
            </w:r>
          </w:p>
          <w:p w14:paraId="46654ED1" w14:textId="77777777" w:rsidR="008D4943" w:rsidRPr="00551707" w:rsidRDefault="00633298" w:rsidP="008D4943">
            <w:pPr>
              <w:pStyle w:val="ListParagraph"/>
              <w:numPr>
                <w:ilvl w:val="0"/>
                <w:numId w:val="17"/>
              </w:numPr>
              <w:spacing w:line="252" w:lineRule="auto"/>
              <w:contextualSpacing w:val="0"/>
              <w:jc w:val="left"/>
              <w:rPr>
                <w:rFonts w:cs="Arial"/>
              </w:rPr>
            </w:pPr>
            <w:r w:rsidRPr="00551707">
              <w:t>Iprodione</w:t>
            </w:r>
          </w:p>
        </w:tc>
      </w:tr>
    </w:tbl>
    <w:p w14:paraId="4D4D3021" w14:textId="77777777" w:rsidR="00B506CB" w:rsidRPr="002F663C" w:rsidRDefault="00633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This addendum to the WTO notification (G/TBT/N/</w:t>
      </w:r>
      <w:proofErr w:type="spellStart"/>
      <w:r w:rsidRPr="002F663C">
        <w:rPr>
          <w:rFonts w:eastAsia="Calibri" w:cs="Times New Roman"/>
          <w:szCs w:val="18"/>
        </w:rPr>
        <w:t>SGP</w:t>
      </w:r>
      <w:proofErr w:type="spellEnd"/>
      <w:r w:rsidRPr="002F663C">
        <w:rPr>
          <w:rFonts w:eastAsia="Calibri" w:cs="Times New Roman"/>
          <w:szCs w:val="18"/>
        </w:rPr>
        <w:t>/63) seeks to inform Members that the measure has been adopted and published on 31 May 2022, and the measure will enter into force on 1 Mar 2023.</w:t>
      </w:r>
      <w:bookmarkEnd w:id="26"/>
    </w:p>
    <w:p w14:paraId="253C469E" w14:textId="77777777" w:rsidR="006C5A96" w:rsidRDefault="0063329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46DF311" w14:textId="77777777" w:rsidR="004D4D19" w:rsidRDefault="004D4D19" w:rsidP="007F38C2">
      <w:pPr>
        <w:jc w:val="center"/>
        <w:rPr>
          <w:b/>
        </w:rPr>
      </w:pPr>
    </w:p>
    <w:p w14:paraId="59129A9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C6BA" w14:textId="77777777" w:rsidR="00D647BC" w:rsidRDefault="00633298">
      <w:r>
        <w:separator/>
      </w:r>
    </w:p>
  </w:endnote>
  <w:endnote w:type="continuationSeparator" w:id="0">
    <w:p w14:paraId="70CC7E04" w14:textId="77777777" w:rsidR="00D647BC" w:rsidRDefault="0063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9C7F" w14:textId="77777777" w:rsidR="00544326" w:rsidRPr="00DD3DD7" w:rsidRDefault="0063329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138B" w14:textId="77777777" w:rsidR="00544326" w:rsidRPr="00DD3DD7" w:rsidRDefault="0063329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F62D" w14:textId="77777777" w:rsidR="00633298" w:rsidRDefault="00633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23F1" w14:textId="77777777" w:rsidR="000248E6" w:rsidRDefault="00633298" w:rsidP="00ED54E0">
      <w:r>
        <w:separator/>
      </w:r>
    </w:p>
  </w:footnote>
  <w:footnote w:type="continuationSeparator" w:id="0">
    <w:p w14:paraId="49ACAACC" w14:textId="77777777" w:rsidR="000248E6" w:rsidRDefault="00633298" w:rsidP="00ED54E0">
      <w:r>
        <w:continuationSeparator/>
      </w:r>
    </w:p>
  </w:footnote>
  <w:footnote w:id="1">
    <w:p w14:paraId="143277A6" w14:textId="77777777" w:rsidR="007F6EA2" w:rsidRDefault="006332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3B54" w14:textId="77777777" w:rsidR="00DD3DD7" w:rsidRDefault="00633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E8FF32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6F55A9" w14:textId="77777777" w:rsidR="00DD3DD7" w:rsidRPr="00DD3DD7" w:rsidRDefault="00633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1362D6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5F" w14:textId="77777777" w:rsidR="00DD3DD7" w:rsidRPr="00DD3DD7" w:rsidRDefault="00633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SGP</w:t>
    </w:r>
    <w:proofErr w:type="spellEnd"/>
    <w:r w:rsidRPr="00DD3DD7">
      <w:t>/63/Add.1</w:t>
    </w:r>
    <w:bookmarkEnd w:id="28"/>
  </w:p>
  <w:p w14:paraId="3D17210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5A5B63" w14:textId="77777777" w:rsidR="00DD3DD7" w:rsidRPr="00DD3DD7" w:rsidRDefault="00633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470C30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1635" w14:paraId="092D28F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FF2E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5A3E4" w14:textId="77777777" w:rsidR="00ED54E0" w:rsidRPr="00182B84" w:rsidRDefault="0063329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41635" w14:paraId="5417AB3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884120" w14:textId="77777777" w:rsidR="00ED54E0" w:rsidRPr="00182B84" w:rsidRDefault="0063329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BD47926" wp14:editId="21389ED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96412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373C7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41635" w14:paraId="7B40F8A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11800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6A6FB4" w14:textId="77777777" w:rsidR="00DD3DD7" w:rsidRPr="002F663C" w:rsidRDefault="0063329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SGP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/63/Add.1</w:t>
          </w:r>
          <w:bookmarkEnd w:id="29"/>
        </w:p>
        <w:p w14:paraId="634C255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41635" w14:paraId="723A094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0298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955064" w14:textId="44DEE9B9" w:rsidR="00ED54E0" w:rsidRPr="00182B84" w:rsidRDefault="0063329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13 June 2022</w:t>
          </w:r>
        </w:p>
      </w:tc>
    </w:tr>
    <w:tr w:rsidR="00C41635" w14:paraId="1163216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83F4A4" w14:textId="29989819" w:rsidR="00ED54E0" w:rsidRPr="00182B84" w:rsidRDefault="0063329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72C96">
            <w:rPr>
              <w:rFonts w:eastAsia="Calibri" w:cs="Times New Roman"/>
              <w:color w:val="FF0000"/>
              <w:szCs w:val="16"/>
            </w:rPr>
            <w:t>4587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4D026E" w14:textId="77777777" w:rsidR="00ED54E0" w:rsidRPr="00182B84" w:rsidRDefault="0063329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41635" w14:paraId="3A79524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057EC1" w14:textId="77777777" w:rsidR="00ED54E0" w:rsidRPr="00182B84" w:rsidRDefault="0063329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DC8224" w14:textId="77777777" w:rsidR="00ED54E0" w:rsidRPr="00182B84" w:rsidRDefault="0063329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B5563C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4B2057"/>
    <w:multiLevelType w:val="hybridMultilevel"/>
    <w:tmpl w:val="39DAC36C"/>
    <w:lvl w:ilvl="0" w:tplc="E8DE3E4A">
      <w:start w:val="1"/>
      <w:numFmt w:val="lowerRoman"/>
      <w:lvlText w:val="(%1)"/>
      <w:lvlJc w:val="left"/>
      <w:pPr>
        <w:ind w:left="720" w:hanging="720"/>
      </w:pPr>
      <w:rPr>
        <w:rFonts w:cs="Times New Roman"/>
      </w:rPr>
    </w:lvl>
    <w:lvl w:ilvl="1" w:tplc="141824D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D067C5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576869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21CCD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889BD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110D15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916E27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C4B9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C407EBE"/>
    <w:multiLevelType w:val="hybridMultilevel"/>
    <w:tmpl w:val="2DD0D24A"/>
    <w:lvl w:ilvl="0" w:tplc="A902480E">
      <w:start w:val="1"/>
      <w:numFmt w:val="lowerRoman"/>
      <w:lvlText w:val="(%1)"/>
      <w:lvlJc w:val="left"/>
      <w:pPr>
        <w:ind w:left="360" w:hanging="360"/>
      </w:pPr>
      <w:rPr>
        <w:rFonts w:cs="Times New Roman"/>
      </w:rPr>
    </w:lvl>
    <w:lvl w:ilvl="1" w:tplc="B5086E14" w:tentative="1">
      <w:start w:val="1"/>
      <w:numFmt w:val="lowerLetter"/>
      <w:lvlText w:val="%2."/>
      <w:lvlJc w:val="left"/>
      <w:pPr>
        <w:ind w:left="1080" w:hanging="360"/>
      </w:pPr>
    </w:lvl>
    <w:lvl w:ilvl="2" w:tplc="5002C7DC" w:tentative="1">
      <w:start w:val="1"/>
      <w:numFmt w:val="lowerRoman"/>
      <w:lvlText w:val="%3."/>
      <w:lvlJc w:val="right"/>
      <w:pPr>
        <w:ind w:left="1800" w:hanging="180"/>
      </w:pPr>
    </w:lvl>
    <w:lvl w:ilvl="3" w:tplc="F5D2FC0A" w:tentative="1">
      <w:start w:val="1"/>
      <w:numFmt w:val="decimal"/>
      <w:lvlText w:val="%4."/>
      <w:lvlJc w:val="left"/>
      <w:pPr>
        <w:ind w:left="2520" w:hanging="360"/>
      </w:pPr>
    </w:lvl>
    <w:lvl w:ilvl="4" w:tplc="C540A482" w:tentative="1">
      <w:start w:val="1"/>
      <w:numFmt w:val="lowerLetter"/>
      <w:lvlText w:val="%5."/>
      <w:lvlJc w:val="left"/>
      <w:pPr>
        <w:ind w:left="3240" w:hanging="360"/>
      </w:pPr>
    </w:lvl>
    <w:lvl w:ilvl="5" w:tplc="9BFEF35E" w:tentative="1">
      <w:start w:val="1"/>
      <w:numFmt w:val="lowerRoman"/>
      <w:lvlText w:val="%6."/>
      <w:lvlJc w:val="right"/>
      <w:pPr>
        <w:ind w:left="3960" w:hanging="180"/>
      </w:pPr>
    </w:lvl>
    <w:lvl w:ilvl="6" w:tplc="12640D38" w:tentative="1">
      <w:start w:val="1"/>
      <w:numFmt w:val="decimal"/>
      <w:lvlText w:val="%7."/>
      <w:lvlJc w:val="left"/>
      <w:pPr>
        <w:ind w:left="4680" w:hanging="360"/>
      </w:pPr>
    </w:lvl>
    <w:lvl w:ilvl="7" w:tplc="6C323FEE" w:tentative="1">
      <w:start w:val="1"/>
      <w:numFmt w:val="lowerLetter"/>
      <w:lvlText w:val="%8."/>
      <w:lvlJc w:val="left"/>
      <w:pPr>
        <w:ind w:left="5400" w:hanging="360"/>
      </w:pPr>
    </w:lvl>
    <w:lvl w:ilvl="8" w:tplc="0FB6FC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75A666C"/>
    <w:numStyleLink w:val="LegalHeadings"/>
  </w:abstractNum>
  <w:abstractNum w:abstractNumId="14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57243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CE0DCC" w:tentative="1">
      <w:start w:val="1"/>
      <w:numFmt w:val="lowerLetter"/>
      <w:lvlText w:val="%2."/>
      <w:lvlJc w:val="left"/>
      <w:pPr>
        <w:ind w:left="1080" w:hanging="360"/>
      </w:pPr>
    </w:lvl>
    <w:lvl w:ilvl="2" w:tplc="CDBC2EB6" w:tentative="1">
      <w:start w:val="1"/>
      <w:numFmt w:val="lowerRoman"/>
      <w:lvlText w:val="%3."/>
      <w:lvlJc w:val="right"/>
      <w:pPr>
        <w:ind w:left="1800" w:hanging="180"/>
      </w:pPr>
    </w:lvl>
    <w:lvl w:ilvl="3" w:tplc="87B8115A" w:tentative="1">
      <w:start w:val="1"/>
      <w:numFmt w:val="decimal"/>
      <w:lvlText w:val="%4."/>
      <w:lvlJc w:val="left"/>
      <w:pPr>
        <w:ind w:left="2520" w:hanging="360"/>
      </w:pPr>
    </w:lvl>
    <w:lvl w:ilvl="4" w:tplc="EE4469E4" w:tentative="1">
      <w:start w:val="1"/>
      <w:numFmt w:val="lowerLetter"/>
      <w:lvlText w:val="%5."/>
      <w:lvlJc w:val="left"/>
      <w:pPr>
        <w:ind w:left="3240" w:hanging="360"/>
      </w:pPr>
    </w:lvl>
    <w:lvl w:ilvl="5" w:tplc="CAA4740A" w:tentative="1">
      <w:start w:val="1"/>
      <w:numFmt w:val="lowerRoman"/>
      <w:lvlText w:val="%6."/>
      <w:lvlJc w:val="right"/>
      <w:pPr>
        <w:ind w:left="3960" w:hanging="180"/>
      </w:pPr>
    </w:lvl>
    <w:lvl w:ilvl="6" w:tplc="41C6DD4A" w:tentative="1">
      <w:start w:val="1"/>
      <w:numFmt w:val="decimal"/>
      <w:lvlText w:val="%7."/>
      <w:lvlJc w:val="left"/>
      <w:pPr>
        <w:ind w:left="4680" w:hanging="360"/>
      </w:pPr>
    </w:lvl>
    <w:lvl w:ilvl="7" w:tplc="158CF724" w:tentative="1">
      <w:start w:val="1"/>
      <w:numFmt w:val="lowerLetter"/>
      <w:lvlText w:val="%8."/>
      <w:lvlJc w:val="left"/>
      <w:pPr>
        <w:ind w:left="5400" w:hanging="360"/>
      </w:pPr>
    </w:lvl>
    <w:lvl w:ilvl="8" w:tplc="DA86D3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458E"/>
    <w:rsid w:val="000923D1"/>
    <w:rsid w:val="000A0633"/>
    <w:rsid w:val="000A4945"/>
    <w:rsid w:val="000A5283"/>
    <w:rsid w:val="000B31E1"/>
    <w:rsid w:val="000B5045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1707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3298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4943"/>
    <w:rsid w:val="008E2C13"/>
    <w:rsid w:val="008E372C"/>
    <w:rsid w:val="00917235"/>
    <w:rsid w:val="00972C96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06CB"/>
    <w:rsid w:val="00B52738"/>
    <w:rsid w:val="00B56EDC"/>
    <w:rsid w:val="00B65A73"/>
    <w:rsid w:val="00BB1341"/>
    <w:rsid w:val="00BB1E9C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1635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1462"/>
    <w:rsid w:val="00CE3EE6"/>
    <w:rsid w:val="00CE4BA1"/>
    <w:rsid w:val="00D000C7"/>
    <w:rsid w:val="00D221B8"/>
    <w:rsid w:val="00D22E2C"/>
    <w:rsid w:val="00D51C5C"/>
    <w:rsid w:val="00D52A9D"/>
    <w:rsid w:val="00D55AAD"/>
    <w:rsid w:val="00D647BC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6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aliases w:val="Noise heading,RUS List"/>
    <w:basedOn w:val="Normal"/>
    <w:link w:val="ListParagraphChar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customStyle="1" w:styleId="ListParagraphChar">
    <w:name w:val="List Paragraph Char"/>
    <w:aliases w:val="Noise heading Char,RUS List Char"/>
    <w:link w:val="ListParagraph"/>
    <w:uiPriority w:val="34"/>
    <w:locked/>
    <w:rsid w:val="008D4943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agc.gov.sg//Act/EPMA199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.agc.gov.sg//SL-Supp/S435-2022/Published/20220531?DocDate=2022053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so.agc.gov.sg//SL-Supp/S436-2022/Published/20220531?DocDate=202205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so.agc.gov.sg//SL/94A-RG4?DocDate=20220531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297</Words>
  <Characters>1900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2022-06-13T11:55:00Z</dcterms:created>
  <dcterms:modified xsi:type="dcterms:W3CDTF">2022-06-13T12:41:00Z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