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DB9A" w14:textId="77777777" w:rsidR="002D78C9" w:rsidRDefault="007D77D6" w:rsidP="00DD3DD7">
      <w:pPr>
        <w:pStyle w:val="Titre"/>
      </w:pPr>
      <w:r w:rsidRPr="002F663C">
        <w:t>NOTIFICATION</w:t>
      </w:r>
    </w:p>
    <w:p w14:paraId="7F047271" w14:textId="77777777" w:rsidR="002F663C" w:rsidRPr="002F663C" w:rsidRDefault="007D77D6" w:rsidP="00DD3DD7">
      <w:pPr>
        <w:pStyle w:val="Title3"/>
      </w:pPr>
      <w:r w:rsidRPr="002F663C">
        <w:t>Addendum</w:t>
      </w:r>
    </w:p>
    <w:p w14:paraId="68A74E89" w14:textId="77777777" w:rsidR="002F663C" w:rsidRDefault="007D77D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7 April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Singapore</w:t>
      </w:r>
      <w:bookmarkEnd w:id="1"/>
      <w:bookmarkEnd w:id="2"/>
      <w:r w:rsidRPr="002F663C">
        <w:rPr>
          <w:rFonts w:eastAsia="Calibri" w:cs="Times New Roman"/>
        </w:rPr>
        <w:t>.</w:t>
      </w:r>
    </w:p>
    <w:p w14:paraId="757CD6C7" w14:textId="77777777" w:rsidR="001E2E4A" w:rsidRPr="002F663C" w:rsidRDefault="001E2E4A" w:rsidP="001E2E4A">
      <w:pPr>
        <w:rPr>
          <w:rFonts w:eastAsia="Calibri" w:cs="Times New Roman"/>
        </w:rPr>
      </w:pPr>
    </w:p>
    <w:p w14:paraId="5148778B" w14:textId="77777777" w:rsidR="002F663C" w:rsidRPr="002F663C" w:rsidRDefault="007D77D6" w:rsidP="002F663C">
      <w:pPr>
        <w:jc w:val="center"/>
        <w:rPr>
          <w:rFonts w:eastAsia="Calibri" w:cs="Times New Roman"/>
          <w:b/>
        </w:rPr>
      </w:pPr>
      <w:r w:rsidRPr="002F663C">
        <w:rPr>
          <w:rFonts w:eastAsia="Calibri" w:cs="Times New Roman"/>
          <w:b/>
        </w:rPr>
        <w:t>_______________</w:t>
      </w:r>
    </w:p>
    <w:p w14:paraId="641EF506" w14:textId="77777777" w:rsidR="002F663C" w:rsidRDefault="002F663C" w:rsidP="002F663C">
      <w:pPr>
        <w:rPr>
          <w:rFonts w:eastAsia="Calibri" w:cs="Times New Roman"/>
        </w:rPr>
      </w:pPr>
    </w:p>
    <w:p w14:paraId="12AAC5BE" w14:textId="77777777" w:rsidR="00C14444" w:rsidRPr="002F663C" w:rsidRDefault="00C14444" w:rsidP="002F663C">
      <w:pPr>
        <w:rPr>
          <w:rFonts w:eastAsia="Calibri" w:cs="Times New Roman"/>
        </w:rPr>
      </w:pPr>
    </w:p>
    <w:p w14:paraId="3C70C657" w14:textId="77777777" w:rsidR="002F663C" w:rsidRPr="002F663C" w:rsidRDefault="007D77D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Subsidiary Legislations under the Environment Protection Management Act for the restriction in supply of prescribed RAC equipment</w:t>
      </w:r>
      <w:bookmarkEnd w:id="3"/>
      <w:bookmarkEnd w:id="4"/>
    </w:p>
    <w:p w14:paraId="4D75D9E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64206" w14:paraId="4E19E70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D35A579" w14:textId="77777777" w:rsidR="002F663C" w:rsidRPr="002F663C" w:rsidRDefault="007D77D6"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664206" w14:paraId="5BDE1BF8" w14:textId="77777777" w:rsidTr="00E9471B">
        <w:tc>
          <w:tcPr>
            <w:tcW w:w="851" w:type="dxa"/>
            <w:shd w:val="clear" w:color="auto" w:fill="auto"/>
          </w:tcPr>
          <w:p w14:paraId="52C0C9BD" w14:textId="77777777" w:rsidR="002F663C" w:rsidRPr="00711F9C" w:rsidRDefault="007D77D6"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9083B77" w14:textId="77777777" w:rsidR="002F663C" w:rsidRPr="002F663C" w:rsidRDefault="007D77D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664206" w14:paraId="6D7F1C59" w14:textId="77777777" w:rsidTr="00E9471B">
        <w:tc>
          <w:tcPr>
            <w:tcW w:w="851" w:type="dxa"/>
            <w:shd w:val="clear" w:color="auto" w:fill="auto"/>
          </w:tcPr>
          <w:p w14:paraId="72E3EDD4" w14:textId="77777777" w:rsidR="002F663C" w:rsidRPr="00711F9C" w:rsidRDefault="007D77D6"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X</w:t>
            </w:r>
            <w:bookmarkEnd w:id="8"/>
            <w:r w:rsidRPr="00711F9C">
              <w:rPr>
                <w:rFonts w:eastAsia="Calibri" w:cs="Times New Roman"/>
                <w:szCs w:val="18"/>
              </w:rPr>
              <w:t>]</w:t>
            </w:r>
          </w:p>
        </w:tc>
        <w:tc>
          <w:tcPr>
            <w:tcW w:w="8198" w:type="dxa"/>
            <w:shd w:val="clear" w:color="auto" w:fill="auto"/>
          </w:tcPr>
          <w:p w14:paraId="2D27DE12" w14:textId="77777777" w:rsidR="002F663C" w:rsidRPr="002F663C" w:rsidRDefault="007D77D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r w:rsidRPr="002F663C">
              <w:rPr>
                <w:rFonts w:eastAsia="Calibri" w:cs="Times New Roman"/>
              </w:rPr>
              <w:t>31 March 2022</w:t>
            </w:r>
            <w:bookmarkEnd w:id="9"/>
          </w:p>
        </w:tc>
      </w:tr>
      <w:tr w:rsidR="00664206" w14:paraId="2153E3E2" w14:textId="77777777" w:rsidTr="00E9471B">
        <w:tc>
          <w:tcPr>
            <w:tcW w:w="851" w:type="dxa"/>
            <w:shd w:val="clear" w:color="auto" w:fill="auto"/>
          </w:tcPr>
          <w:p w14:paraId="406F6AEF" w14:textId="77777777" w:rsidR="002F663C" w:rsidRPr="00711F9C" w:rsidRDefault="007D77D6"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0D661C2F" w14:textId="77777777" w:rsidR="002F663C" w:rsidRPr="002F663C" w:rsidRDefault="007D77D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Pr="002F663C">
              <w:rPr>
                <w:rFonts w:eastAsia="Calibri" w:cs="Times New Roman"/>
              </w:rPr>
              <w:t>31 March 2022</w:t>
            </w:r>
            <w:bookmarkEnd w:id="11"/>
          </w:p>
        </w:tc>
      </w:tr>
      <w:tr w:rsidR="00664206" w14:paraId="54BE164F" w14:textId="77777777" w:rsidTr="00E9471B">
        <w:tc>
          <w:tcPr>
            <w:tcW w:w="851" w:type="dxa"/>
            <w:shd w:val="clear" w:color="auto" w:fill="auto"/>
          </w:tcPr>
          <w:p w14:paraId="2A5A2068" w14:textId="77777777" w:rsidR="002F663C" w:rsidRPr="00711F9C" w:rsidRDefault="007D77D6"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5E99FE4F" w14:textId="77777777" w:rsidR="002F663C" w:rsidRPr="002F663C" w:rsidRDefault="007D77D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Pr="002F663C">
              <w:rPr>
                <w:rFonts w:eastAsia="Calibri" w:cs="Times New Roman"/>
              </w:rPr>
              <w:t>1 October 2022</w:t>
            </w:r>
            <w:bookmarkEnd w:id="13"/>
          </w:p>
        </w:tc>
      </w:tr>
      <w:tr w:rsidR="00664206" w14:paraId="2064274A" w14:textId="77777777" w:rsidTr="00E9471B">
        <w:tc>
          <w:tcPr>
            <w:tcW w:w="851" w:type="dxa"/>
            <w:shd w:val="clear" w:color="auto" w:fill="auto"/>
          </w:tcPr>
          <w:p w14:paraId="1B6AA6F9" w14:textId="77777777" w:rsidR="002F663C" w:rsidRPr="00711F9C" w:rsidRDefault="007D77D6"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659462DD" w14:textId="77777777" w:rsidR="002F663C" w:rsidRPr="002F663C" w:rsidRDefault="007D77D6"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Appelnotedebasdep"/>
                <w:rFonts w:eastAsia="Calibri" w:cs="Times New Roman"/>
              </w:rPr>
              <w:footnoteReference w:id="1"/>
            </w:r>
            <w:bookmarkEnd w:id="15"/>
            <w:r w:rsidRPr="002F663C">
              <w:rPr>
                <w:rFonts w:eastAsia="Calibri" w:cs="Times New Roman"/>
              </w:rPr>
              <w:t xml:space="preserve">: </w:t>
            </w:r>
            <w:bookmarkStart w:id="16" w:name="bmkFinalMeasure"/>
          </w:p>
          <w:p w14:paraId="08A1B246" w14:textId="77777777" w:rsidR="002F663C" w:rsidRPr="002F663C" w:rsidRDefault="007D77D6" w:rsidP="00EB7B40">
            <w:pPr>
              <w:spacing w:before="60" w:after="60"/>
              <w:rPr>
                <w:rFonts w:eastAsia="Calibri" w:cs="Times New Roman"/>
              </w:rPr>
            </w:pPr>
            <w:r w:rsidRPr="002F663C">
              <w:rPr>
                <w:rFonts w:eastAsia="Calibri" w:cs="Times New Roman"/>
              </w:rPr>
              <w:t>Environmental Protection and Management (Greenhouse Gases) Regulations 2022:</w:t>
            </w:r>
          </w:p>
          <w:p w14:paraId="3E40CFD1" w14:textId="77777777" w:rsidR="004A5904" w:rsidRPr="002F663C" w:rsidRDefault="005342A0" w:rsidP="004A5904">
            <w:pPr>
              <w:spacing w:before="60" w:after="60"/>
              <w:rPr>
                <w:rFonts w:eastAsia="Calibri" w:cs="Times New Roman"/>
              </w:rPr>
            </w:pPr>
            <w:hyperlink r:id="rId8" w:history="1">
              <w:r w:rsidR="007D77D6" w:rsidRPr="000C644F">
                <w:rPr>
                  <w:rStyle w:val="Lienhypertexte"/>
                  <w:rFonts w:eastAsia="Calibri" w:cs="Times New Roman"/>
                </w:rPr>
                <w:t>https://members.wto.org/crnattachments/2022/TBT/SGP/final_measure/22_2685_00_e.pdf</w:t>
              </w:r>
            </w:hyperlink>
          </w:p>
          <w:p w14:paraId="57715B18" w14:textId="77777777" w:rsidR="002F663C" w:rsidRPr="002F663C" w:rsidRDefault="002F663C" w:rsidP="00EB7B40">
            <w:pPr>
              <w:spacing w:before="60" w:after="60"/>
              <w:rPr>
                <w:rFonts w:eastAsia="Calibri" w:cs="Times New Roman"/>
              </w:rPr>
            </w:pPr>
          </w:p>
          <w:p w14:paraId="32C07D37" w14:textId="77777777" w:rsidR="002F663C" w:rsidRPr="002F663C" w:rsidRDefault="007D77D6" w:rsidP="00EB7B40">
            <w:pPr>
              <w:spacing w:before="60" w:after="60"/>
              <w:rPr>
                <w:rFonts w:eastAsia="Calibri" w:cs="Times New Roman"/>
              </w:rPr>
            </w:pPr>
            <w:r w:rsidRPr="002F663C">
              <w:rPr>
                <w:rFonts w:eastAsia="Calibri" w:cs="Times New Roman"/>
              </w:rPr>
              <w:t>Environmental Protection and Management (Prescribed Regulated Goods) Order 2022:</w:t>
            </w:r>
          </w:p>
          <w:p w14:paraId="1D906420" w14:textId="77777777" w:rsidR="004A5904" w:rsidRPr="002F663C" w:rsidRDefault="005342A0" w:rsidP="004A5904">
            <w:pPr>
              <w:spacing w:before="60" w:after="60"/>
              <w:rPr>
                <w:rFonts w:eastAsia="Calibri" w:cs="Times New Roman"/>
              </w:rPr>
            </w:pPr>
            <w:hyperlink r:id="rId9" w:history="1">
              <w:r w:rsidR="007D77D6" w:rsidRPr="000C644F">
                <w:rPr>
                  <w:rStyle w:val="Lienhypertexte"/>
                  <w:rFonts w:eastAsia="Calibri" w:cs="Times New Roman"/>
                </w:rPr>
                <w:t>https://members.wto.org/crnattachments/2022/TBT/SGP/final_measure/22_2685_01_e.pdf</w:t>
              </w:r>
            </w:hyperlink>
          </w:p>
          <w:p w14:paraId="475DDB7E" w14:textId="77777777" w:rsidR="002F663C" w:rsidRPr="002F663C" w:rsidRDefault="002F663C" w:rsidP="00EB7B40">
            <w:pPr>
              <w:spacing w:before="60" w:after="60"/>
              <w:rPr>
                <w:rFonts w:eastAsia="Calibri" w:cs="Times New Roman"/>
              </w:rPr>
            </w:pPr>
          </w:p>
          <w:p w14:paraId="76BA4FA1" w14:textId="77777777" w:rsidR="002F663C" w:rsidRPr="002F663C" w:rsidRDefault="007D77D6" w:rsidP="00EB7B40">
            <w:pPr>
              <w:spacing w:before="60" w:after="60"/>
              <w:rPr>
                <w:rFonts w:eastAsia="Calibri" w:cs="Times New Roman"/>
              </w:rPr>
            </w:pPr>
            <w:r w:rsidRPr="002F663C">
              <w:rPr>
                <w:rFonts w:eastAsia="Calibri" w:cs="Times New Roman"/>
              </w:rPr>
              <w:t>Environmental Protection and Management (Regulated Goods and Registered Suppliers) Regulations 2022:</w:t>
            </w:r>
          </w:p>
          <w:p w14:paraId="648DD20A" w14:textId="77777777" w:rsidR="004A5904" w:rsidRPr="002F663C" w:rsidRDefault="005342A0" w:rsidP="004A5904">
            <w:pPr>
              <w:spacing w:before="60" w:after="60"/>
              <w:rPr>
                <w:rFonts w:eastAsia="Calibri" w:cs="Times New Roman"/>
              </w:rPr>
            </w:pPr>
            <w:hyperlink r:id="rId10" w:history="1">
              <w:r w:rsidR="007D77D6" w:rsidRPr="000C644F">
                <w:rPr>
                  <w:rStyle w:val="Lienhypertexte"/>
                  <w:rFonts w:eastAsia="Calibri" w:cs="Times New Roman"/>
                </w:rPr>
                <w:t>https://members.wto.org/crnattachments/2022/TBT/SGP/final_measure/22_2685_02_e.pdf</w:t>
              </w:r>
            </w:hyperlink>
          </w:p>
          <w:p w14:paraId="2FBFC1E5" w14:textId="77777777" w:rsidR="002F663C" w:rsidRPr="002F663C" w:rsidRDefault="002F663C" w:rsidP="00EB7B40">
            <w:pPr>
              <w:spacing w:before="60" w:after="60"/>
              <w:rPr>
                <w:rFonts w:eastAsia="Calibri" w:cs="Times New Roman"/>
              </w:rPr>
            </w:pPr>
          </w:p>
          <w:p w14:paraId="6A7E361F" w14:textId="77777777" w:rsidR="002F663C" w:rsidRPr="002F663C" w:rsidRDefault="007D77D6" w:rsidP="00EB7B40">
            <w:pPr>
              <w:spacing w:before="60" w:after="60"/>
              <w:rPr>
                <w:rFonts w:eastAsia="Calibri" w:cs="Times New Roman"/>
              </w:rPr>
            </w:pPr>
            <w:r w:rsidRPr="002F663C">
              <w:rPr>
                <w:rFonts w:eastAsia="Calibri" w:cs="Times New Roman"/>
              </w:rPr>
              <w:t>Environmental Protection and Management (Regulated Goods – Exemption) Order 2022:</w:t>
            </w:r>
          </w:p>
          <w:p w14:paraId="06EF2B7E" w14:textId="77777777" w:rsidR="002F663C" w:rsidRPr="002F663C" w:rsidRDefault="005342A0" w:rsidP="00EB7B40">
            <w:pPr>
              <w:spacing w:before="60" w:after="60"/>
              <w:rPr>
                <w:rFonts w:eastAsia="Calibri" w:cs="Times New Roman"/>
              </w:rPr>
            </w:pPr>
            <w:hyperlink r:id="rId11" w:tgtFrame="_blank" w:history="1">
              <w:r w:rsidR="007D77D6" w:rsidRPr="002F663C">
                <w:rPr>
                  <w:rFonts w:eastAsia="Calibri" w:cs="Times New Roman"/>
                  <w:color w:val="0000FF"/>
                  <w:u w:val="single"/>
                </w:rPr>
                <w:t>https://members.wto.org/crnattachments/2022/TBT/SGP/final_measure/22_2685_03_e.pdf</w:t>
              </w:r>
            </w:hyperlink>
            <w:bookmarkEnd w:id="16"/>
          </w:p>
        </w:tc>
      </w:tr>
      <w:tr w:rsidR="00664206" w14:paraId="10772C31" w14:textId="77777777" w:rsidTr="00E9471B">
        <w:tc>
          <w:tcPr>
            <w:tcW w:w="851" w:type="dxa"/>
            <w:shd w:val="clear" w:color="auto" w:fill="auto"/>
          </w:tcPr>
          <w:p w14:paraId="3D44034C" w14:textId="77777777" w:rsidR="002F663C" w:rsidRPr="00711F9C" w:rsidRDefault="007D77D6"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753F4409" w14:textId="77777777" w:rsidR="002F663C" w:rsidRPr="002F663C" w:rsidRDefault="007D77D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17220DC6" w14:textId="77777777" w:rsidR="002F663C" w:rsidRPr="002F663C" w:rsidRDefault="007D77D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664206" w14:paraId="533F2D05" w14:textId="77777777" w:rsidTr="00E9471B">
        <w:tc>
          <w:tcPr>
            <w:tcW w:w="851" w:type="dxa"/>
            <w:shd w:val="clear" w:color="auto" w:fill="auto"/>
          </w:tcPr>
          <w:p w14:paraId="46E6FD50" w14:textId="77777777" w:rsidR="002F663C" w:rsidRPr="00711F9C" w:rsidRDefault="007D77D6"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2690B1AB" w14:textId="77777777" w:rsidR="002F663C" w:rsidRPr="002F663C" w:rsidRDefault="007D77D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17FCAB2A" w14:textId="77777777" w:rsidR="002F663C" w:rsidRPr="002F663C" w:rsidRDefault="007D77D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664206" w14:paraId="386799A3" w14:textId="77777777" w:rsidTr="00E9471B">
        <w:tc>
          <w:tcPr>
            <w:tcW w:w="851" w:type="dxa"/>
            <w:shd w:val="clear" w:color="auto" w:fill="auto"/>
          </w:tcPr>
          <w:p w14:paraId="39AEEC96" w14:textId="77777777" w:rsidR="002F663C" w:rsidRPr="00711F9C" w:rsidRDefault="007D77D6" w:rsidP="00C14444">
            <w:pPr>
              <w:spacing w:before="60" w:after="60"/>
              <w:ind w:left="567" w:hanging="567"/>
              <w:rPr>
                <w:rFonts w:eastAsia="Calibri" w:cs="Times New Roman"/>
                <w:szCs w:val="18"/>
              </w:rPr>
            </w:pPr>
            <w:r w:rsidRPr="00711F9C">
              <w:rPr>
                <w:rFonts w:eastAsia="Calibri" w:cs="Times New Roman"/>
                <w:szCs w:val="18"/>
              </w:rPr>
              <w:lastRenderedPageBreak/>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06B7132F" w14:textId="77777777" w:rsidR="002F663C" w:rsidRPr="002F663C" w:rsidRDefault="007D77D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664206" w14:paraId="6C5ACF43" w14:textId="77777777" w:rsidTr="00E9471B">
        <w:tc>
          <w:tcPr>
            <w:tcW w:w="851" w:type="dxa"/>
            <w:tcBorders>
              <w:bottom w:val="double" w:sz="4" w:space="0" w:color="auto"/>
            </w:tcBorders>
            <w:shd w:val="clear" w:color="auto" w:fill="auto"/>
          </w:tcPr>
          <w:p w14:paraId="797DD874" w14:textId="77777777" w:rsidR="002F663C" w:rsidRPr="00711F9C" w:rsidRDefault="007D77D6"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6BE5DCF7" w14:textId="77777777" w:rsidR="002F663C" w:rsidRPr="002F663C" w:rsidRDefault="007D77D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72CE2DF4" w14:textId="77777777" w:rsidR="002F663C" w:rsidRPr="002F663C" w:rsidRDefault="002F663C" w:rsidP="002F663C">
      <w:pPr>
        <w:jc w:val="left"/>
        <w:rPr>
          <w:rFonts w:eastAsia="Calibri" w:cs="Times New Roman"/>
          <w:highlight w:val="yellow"/>
        </w:rPr>
      </w:pPr>
    </w:p>
    <w:p w14:paraId="6AC5EA24" w14:textId="77777777" w:rsidR="003971FF" w:rsidRPr="007F6EA2" w:rsidRDefault="007D77D6" w:rsidP="00B16ACF">
      <w:pPr>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 xml:space="preserve">This addendum to the WTO notification G/TBT/N/SGP/56 seeks to inform Members that the notified documents, the Subsidiary Legislations (SLs) under the Environmental Protection and Management Act, as listed in the table below, have been finalised. The SLs stipulate that there will be a supply restriction of specified refrigeration and air-conditioning ("RAC") equipment using refrigerants with high Global Warming Potential ("GWP") values. The intent and requirements of the proposed restriction remain the same as previously notified in G/TBT/N/SGP/56. More information on the requirements can be found in the circular </w:t>
      </w:r>
      <w:hyperlink r:id="rId12" w:history="1">
        <w:r w:rsidRPr="002F663C">
          <w:rPr>
            <w:rFonts w:eastAsia="Calibri" w:cs="Times New Roman"/>
            <w:color w:val="0000FF"/>
            <w:szCs w:val="18"/>
            <w:u w:val="single"/>
          </w:rPr>
          <w:t>here</w:t>
        </w:r>
      </w:hyperlink>
      <w:r w:rsidRPr="002F663C">
        <w:rPr>
          <w:rFonts w:eastAsia="Calibri" w:cs="Times New Roman"/>
          <w:szCs w:val="18"/>
        </w:rPr>
        <w:t>.</w:t>
      </w:r>
    </w:p>
    <w:bookmarkEnd w:id="27"/>
    <w:p w14:paraId="45B454B3" w14:textId="77777777" w:rsidR="00680291" w:rsidRDefault="00680291" w:rsidP="006C5A96">
      <w:pPr>
        <w:jc w:val="center"/>
        <w:rPr>
          <w:b/>
        </w:rPr>
      </w:pPr>
    </w:p>
    <w:tbl>
      <w:tblPr>
        <w:tblStyle w:val="Grilledutableau"/>
        <w:tblW w:w="0" w:type="auto"/>
        <w:jc w:val="center"/>
        <w:tblLayout w:type="fixed"/>
        <w:tblLook w:val="04A0" w:firstRow="1" w:lastRow="0" w:firstColumn="1" w:lastColumn="0" w:noHBand="0" w:noVBand="1"/>
      </w:tblPr>
      <w:tblGrid>
        <w:gridCol w:w="621"/>
        <w:gridCol w:w="1525"/>
        <w:gridCol w:w="6496"/>
      </w:tblGrid>
      <w:tr w:rsidR="00664206" w14:paraId="02A6452D" w14:textId="77777777" w:rsidTr="009D497A">
        <w:trPr>
          <w:jc w:val="center"/>
        </w:trPr>
        <w:tc>
          <w:tcPr>
            <w:tcW w:w="621" w:type="dxa"/>
            <w:tcBorders>
              <w:top w:val="single" w:sz="4" w:space="0" w:color="auto"/>
              <w:left w:val="single" w:sz="4" w:space="0" w:color="auto"/>
              <w:bottom w:val="single" w:sz="4" w:space="0" w:color="auto"/>
              <w:right w:val="single" w:sz="4" w:space="0" w:color="auto"/>
            </w:tcBorders>
            <w:shd w:val="clear" w:color="auto" w:fill="E7E6E6"/>
            <w:hideMark/>
          </w:tcPr>
          <w:p w14:paraId="322226FA" w14:textId="77777777" w:rsidR="00680291" w:rsidRPr="00DB4AAA" w:rsidRDefault="007D77D6" w:rsidP="009D497A">
            <w:pPr>
              <w:spacing w:before="60" w:after="60"/>
              <w:jc w:val="center"/>
              <w:rPr>
                <w:rFonts w:cs="Calibri"/>
                <w:b/>
                <w:bCs/>
                <w:lang w:val="en-SG" w:eastAsia="en-SG"/>
              </w:rPr>
            </w:pPr>
            <w:r>
              <w:rPr>
                <w:rFonts w:eastAsia="Calibri"/>
                <w:szCs w:val="18"/>
              </w:rPr>
              <w:br w:type="page"/>
            </w:r>
            <w:r w:rsidRPr="00DB4AAA">
              <w:rPr>
                <w:rFonts w:cs="Calibri"/>
                <w:b/>
                <w:bCs/>
                <w:lang w:eastAsia="en-SG"/>
              </w:rPr>
              <w:t>S/N</w:t>
            </w:r>
          </w:p>
        </w:tc>
        <w:tc>
          <w:tcPr>
            <w:tcW w:w="1525" w:type="dxa"/>
            <w:tcBorders>
              <w:top w:val="single" w:sz="4" w:space="0" w:color="auto"/>
              <w:left w:val="single" w:sz="4" w:space="0" w:color="auto"/>
              <w:bottom w:val="single" w:sz="4" w:space="0" w:color="auto"/>
              <w:right w:val="single" w:sz="4" w:space="0" w:color="auto"/>
            </w:tcBorders>
            <w:shd w:val="clear" w:color="auto" w:fill="E7E6E6"/>
            <w:hideMark/>
          </w:tcPr>
          <w:p w14:paraId="633E1764" w14:textId="77777777" w:rsidR="00680291" w:rsidRPr="00DB4AAA" w:rsidRDefault="007D77D6" w:rsidP="009D497A">
            <w:pPr>
              <w:spacing w:before="60" w:after="60"/>
              <w:jc w:val="center"/>
              <w:rPr>
                <w:rFonts w:cs="Calibri"/>
                <w:b/>
                <w:bCs/>
                <w:lang w:eastAsia="en-SG"/>
              </w:rPr>
            </w:pPr>
            <w:r w:rsidRPr="00DB4AAA">
              <w:rPr>
                <w:rFonts w:cs="Calibri"/>
                <w:b/>
                <w:bCs/>
                <w:lang w:eastAsia="en-SG"/>
              </w:rPr>
              <w:t>Name of SL</w:t>
            </w:r>
          </w:p>
        </w:tc>
        <w:tc>
          <w:tcPr>
            <w:tcW w:w="6496" w:type="dxa"/>
            <w:tcBorders>
              <w:top w:val="single" w:sz="4" w:space="0" w:color="auto"/>
              <w:left w:val="single" w:sz="4" w:space="0" w:color="auto"/>
              <w:bottom w:val="single" w:sz="4" w:space="0" w:color="auto"/>
              <w:right w:val="single" w:sz="4" w:space="0" w:color="auto"/>
            </w:tcBorders>
            <w:shd w:val="clear" w:color="auto" w:fill="E7E6E6"/>
            <w:hideMark/>
          </w:tcPr>
          <w:p w14:paraId="6014379C" w14:textId="77777777" w:rsidR="00680291" w:rsidRPr="00DB4AAA" w:rsidRDefault="007D77D6" w:rsidP="009D497A">
            <w:pPr>
              <w:spacing w:before="60" w:after="60"/>
              <w:jc w:val="center"/>
              <w:rPr>
                <w:rFonts w:cs="Calibri"/>
                <w:b/>
                <w:bCs/>
                <w:lang w:eastAsia="en-SG"/>
              </w:rPr>
            </w:pPr>
            <w:r w:rsidRPr="00DB4AAA">
              <w:rPr>
                <w:rFonts w:cs="Calibri"/>
                <w:b/>
                <w:bCs/>
                <w:lang w:eastAsia="en-SG"/>
              </w:rPr>
              <w:t>Summary</w:t>
            </w:r>
            <w:r>
              <w:rPr>
                <w:rFonts w:cs="Calibri"/>
                <w:b/>
                <w:bCs/>
                <w:lang w:eastAsia="en-SG"/>
              </w:rPr>
              <w:t xml:space="preserve"> of Contents</w:t>
            </w:r>
          </w:p>
        </w:tc>
      </w:tr>
      <w:tr w:rsidR="00664206" w14:paraId="1B0CC092" w14:textId="77777777" w:rsidTr="009D497A">
        <w:trPr>
          <w:trHeight w:val="185"/>
          <w:jc w:val="center"/>
        </w:trPr>
        <w:tc>
          <w:tcPr>
            <w:tcW w:w="621" w:type="dxa"/>
            <w:tcBorders>
              <w:top w:val="single" w:sz="4" w:space="0" w:color="auto"/>
              <w:left w:val="single" w:sz="4" w:space="0" w:color="auto"/>
              <w:bottom w:val="single" w:sz="4" w:space="0" w:color="auto"/>
              <w:right w:val="single" w:sz="4" w:space="0" w:color="auto"/>
            </w:tcBorders>
            <w:hideMark/>
          </w:tcPr>
          <w:p w14:paraId="3FB8793C" w14:textId="77777777" w:rsidR="00680291" w:rsidRPr="00DB4AAA" w:rsidRDefault="007D77D6" w:rsidP="009D497A">
            <w:pPr>
              <w:spacing w:before="60" w:after="60"/>
              <w:jc w:val="center"/>
              <w:rPr>
                <w:rFonts w:cs="Calibri"/>
                <w:lang w:eastAsia="en-SG"/>
              </w:rPr>
            </w:pPr>
            <w:r w:rsidRPr="00DB4AAA">
              <w:rPr>
                <w:rFonts w:cs="Calibri"/>
                <w:lang w:eastAsia="en-SG"/>
              </w:rPr>
              <w:t>1</w:t>
            </w:r>
          </w:p>
        </w:tc>
        <w:tc>
          <w:tcPr>
            <w:tcW w:w="1525" w:type="dxa"/>
            <w:tcBorders>
              <w:top w:val="single" w:sz="4" w:space="0" w:color="auto"/>
              <w:left w:val="single" w:sz="4" w:space="0" w:color="auto"/>
              <w:bottom w:val="single" w:sz="4" w:space="0" w:color="auto"/>
              <w:right w:val="single" w:sz="4" w:space="0" w:color="auto"/>
            </w:tcBorders>
            <w:hideMark/>
          </w:tcPr>
          <w:p w14:paraId="230FBAE2" w14:textId="77777777" w:rsidR="00680291" w:rsidRDefault="007D77D6" w:rsidP="009D497A">
            <w:pPr>
              <w:spacing w:before="60" w:after="60"/>
              <w:jc w:val="left"/>
              <w:rPr>
                <w:rFonts w:cs="Calibri"/>
                <w:lang w:eastAsia="en-SG"/>
              </w:rPr>
            </w:pPr>
            <w:r w:rsidRPr="00633719">
              <w:rPr>
                <w:rFonts w:cs="Calibri"/>
                <w:lang w:eastAsia="en-SG"/>
              </w:rPr>
              <w:t>E</w:t>
            </w:r>
            <w:r>
              <w:rPr>
                <w:rFonts w:cs="Calibri"/>
                <w:lang w:eastAsia="en-SG"/>
              </w:rPr>
              <w:t xml:space="preserve">nvironmental </w:t>
            </w:r>
            <w:r w:rsidRPr="00633719">
              <w:rPr>
                <w:rFonts w:cs="Calibri"/>
                <w:lang w:eastAsia="en-SG"/>
              </w:rPr>
              <w:t>P</w:t>
            </w:r>
            <w:r>
              <w:rPr>
                <w:rFonts w:cs="Calibri"/>
                <w:lang w:eastAsia="en-SG"/>
              </w:rPr>
              <w:t xml:space="preserve">rotection and </w:t>
            </w:r>
            <w:r w:rsidRPr="00633719">
              <w:rPr>
                <w:rFonts w:cs="Calibri"/>
                <w:lang w:eastAsia="en-SG"/>
              </w:rPr>
              <w:t>M</w:t>
            </w:r>
            <w:r>
              <w:rPr>
                <w:rFonts w:cs="Calibri"/>
                <w:lang w:eastAsia="en-SG"/>
              </w:rPr>
              <w:t>anagement</w:t>
            </w:r>
            <w:r w:rsidRPr="00633719">
              <w:rPr>
                <w:rFonts w:cs="Calibri"/>
                <w:lang w:eastAsia="en-SG"/>
              </w:rPr>
              <w:t xml:space="preserve"> (Greenhouse Gases) Regulations 2022</w:t>
            </w:r>
          </w:p>
          <w:p w14:paraId="2D81308B" w14:textId="77777777" w:rsidR="00680291" w:rsidRPr="00DB4AAA" w:rsidRDefault="00680291" w:rsidP="009D497A">
            <w:pPr>
              <w:spacing w:before="60" w:after="60"/>
              <w:jc w:val="left"/>
              <w:rPr>
                <w:rFonts w:cs="Calibri"/>
                <w:lang w:eastAsia="en-SG"/>
              </w:rPr>
            </w:pPr>
          </w:p>
        </w:tc>
        <w:tc>
          <w:tcPr>
            <w:tcW w:w="6496" w:type="dxa"/>
            <w:tcBorders>
              <w:top w:val="single" w:sz="4" w:space="0" w:color="auto"/>
              <w:left w:val="single" w:sz="4" w:space="0" w:color="auto"/>
              <w:bottom w:val="single" w:sz="4" w:space="0" w:color="auto"/>
              <w:right w:val="single" w:sz="4" w:space="0" w:color="auto"/>
            </w:tcBorders>
          </w:tcPr>
          <w:p w14:paraId="50300010" w14:textId="77777777" w:rsidR="00680291" w:rsidRPr="00DB4AAA" w:rsidRDefault="007D77D6" w:rsidP="00680291">
            <w:pPr>
              <w:pStyle w:val="Paragraphedeliste"/>
              <w:numPr>
                <w:ilvl w:val="0"/>
                <w:numId w:val="17"/>
              </w:numPr>
              <w:spacing w:before="60" w:after="60"/>
              <w:contextualSpacing w:val="0"/>
              <w:rPr>
                <w:rFonts w:cs="Calibri"/>
                <w:lang w:eastAsia="en-SG"/>
              </w:rPr>
            </w:pPr>
            <w:r w:rsidRPr="00DB4AAA">
              <w:rPr>
                <w:color w:val="000000"/>
                <w:lang w:eastAsia="en-SG"/>
              </w:rPr>
              <w:t xml:space="preserve">Defines the controlled </w:t>
            </w:r>
            <w:r w:rsidRPr="00DB4AAA">
              <w:rPr>
                <w:lang w:eastAsia="en-SG"/>
              </w:rPr>
              <w:t xml:space="preserve">substances </w:t>
            </w:r>
            <w:r w:rsidRPr="00DB4AAA">
              <w:rPr>
                <w:color w:val="000000"/>
                <w:lang w:eastAsia="en-SG"/>
              </w:rPr>
              <w:t xml:space="preserve">with reference to </w:t>
            </w:r>
            <w:r w:rsidRPr="00DB4AAA">
              <w:rPr>
                <w:lang w:eastAsia="en-SG"/>
              </w:rPr>
              <w:t>the Fifth Assessment Report of the Intergovernmental Panel on Climate Change (“IPCC AR 5”)</w:t>
            </w:r>
            <w:r>
              <w:rPr>
                <w:lang w:eastAsia="en-SG"/>
              </w:rPr>
              <w:t>.</w:t>
            </w:r>
          </w:p>
          <w:p w14:paraId="5C7F4F29" w14:textId="77777777" w:rsidR="00680291" w:rsidRPr="00DB4AAA" w:rsidRDefault="00680291" w:rsidP="009D497A">
            <w:pPr>
              <w:pStyle w:val="Paragraphedeliste"/>
              <w:spacing w:before="60" w:after="60"/>
              <w:ind w:left="360"/>
              <w:rPr>
                <w:lang w:eastAsia="en-SG"/>
              </w:rPr>
            </w:pPr>
          </w:p>
        </w:tc>
      </w:tr>
      <w:tr w:rsidR="00664206" w14:paraId="14D4A460" w14:textId="77777777" w:rsidTr="009D497A">
        <w:trPr>
          <w:trHeight w:val="121"/>
          <w:jc w:val="center"/>
        </w:trPr>
        <w:tc>
          <w:tcPr>
            <w:tcW w:w="621" w:type="dxa"/>
            <w:tcBorders>
              <w:top w:val="single" w:sz="4" w:space="0" w:color="auto"/>
              <w:left w:val="single" w:sz="4" w:space="0" w:color="auto"/>
              <w:bottom w:val="single" w:sz="4" w:space="0" w:color="auto"/>
              <w:right w:val="single" w:sz="4" w:space="0" w:color="auto"/>
            </w:tcBorders>
            <w:hideMark/>
          </w:tcPr>
          <w:p w14:paraId="5344715D" w14:textId="77777777" w:rsidR="00680291" w:rsidRPr="00DB4AAA" w:rsidRDefault="007D77D6" w:rsidP="009D497A">
            <w:pPr>
              <w:spacing w:before="60" w:after="60"/>
              <w:jc w:val="center"/>
              <w:rPr>
                <w:rFonts w:cs="Calibri"/>
                <w:lang w:eastAsia="en-SG"/>
              </w:rPr>
            </w:pPr>
            <w:r w:rsidRPr="00DB4AAA">
              <w:rPr>
                <w:rFonts w:cs="Calibri"/>
                <w:lang w:eastAsia="en-SG"/>
              </w:rPr>
              <w:t>2</w:t>
            </w:r>
          </w:p>
        </w:tc>
        <w:tc>
          <w:tcPr>
            <w:tcW w:w="1525" w:type="dxa"/>
            <w:tcBorders>
              <w:top w:val="single" w:sz="4" w:space="0" w:color="auto"/>
              <w:left w:val="single" w:sz="4" w:space="0" w:color="auto"/>
              <w:bottom w:val="single" w:sz="4" w:space="0" w:color="auto"/>
              <w:right w:val="single" w:sz="4" w:space="0" w:color="auto"/>
            </w:tcBorders>
          </w:tcPr>
          <w:p w14:paraId="03BDCBD7" w14:textId="77777777" w:rsidR="00680291" w:rsidRDefault="007D77D6" w:rsidP="009D497A">
            <w:pPr>
              <w:spacing w:before="60" w:after="60"/>
              <w:jc w:val="left"/>
              <w:rPr>
                <w:rFonts w:cs="Calibri"/>
                <w:lang w:eastAsia="en-SG"/>
              </w:rPr>
            </w:pPr>
            <w:r w:rsidRPr="00DB4AAA">
              <w:rPr>
                <w:rFonts w:cs="Calibri"/>
                <w:lang w:eastAsia="en-SG"/>
              </w:rPr>
              <w:t>E</w:t>
            </w:r>
            <w:r>
              <w:rPr>
                <w:rFonts w:cs="Calibri"/>
                <w:lang w:eastAsia="en-SG"/>
              </w:rPr>
              <w:t xml:space="preserve">nvironmental </w:t>
            </w:r>
            <w:r w:rsidRPr="00DB4AAA">
              <w:rPr>
                <w:rFonts w:cs="Calibri"/>
                <w:lang w:eastAsia="en-SG"/>
              </w:rPr>
              <w:t>P</w:t>
            </w:r>
            <w:r>
              <w:rPr>
                <w:rFonts w:cs="Calibri"/>
                <w:lang w:eastAsia="en-SG"/>
              </w:rPr>
              <w:t xml:space="preserve">rotection and </w:t>
            </w:r>
            <w:r w:rsidRPr="00DB4AAA">
              <w:rPr>
                <w:rFonts w:cs="Calibri"/>
                <w:lang w:eastAsia="en-SG"/>
              </w:rPr>
              <w:t>M</w:t>
            </w:r>
            <w:r>
              <w:rPr>
                <w:rFonts w:cs="Calibri"/>
                <w:lang w:eastAsia="en-SG"/>
              </w:rPr>
              <w:t>anagement</w:t>
            </w:r>
            <w:r w:rsidRPr="00DB4AAA">
              <w:rPr>
                <w:rFonts w:cs="Calibri"/>
                <w:lang w:eastAsia="en-SG"/>
              </w:rPr>
              <w:t xml:space="preserve"> (Prescribed Regulated Goods) Order 2022</w:t>
            </w:r>
          </w:p>
          <w:p w14:paraId="23419C6C" w14:textId="77777777" w:rsidR="00680291" w:rsidRPr="00633719" w:rsidRDefault="00680291" w:rsidP="009D497A">
            <w:pPr>
              <w:spacing w:before="60" w:after="60"/>
              <w:jc w:val="left"/>
              <w:rPr>
                <w:rFonts w:cs="Calibri"/>
                <w:lang w:eastAsia="en-SG"/>
              </w:rPr>
            </w:pPr>
          </w:p>
        </w:tc>
        <w:tc>
          <w:tcPr>
            <w:tcW w:w="6496" w:type="dxa"/>
            <w:tcBorders>
              <w:top w:val="single" w:sz="4" w:space="0" w:color="auto"/>
              <w:left w:val="single" w:sz="4" w:space="0" w:color="auto"/>
              <w:bottom w:val="single" w:sz="4" w:space="0" w:color="auto"/>
              <w:right w:val="single" w:sz="4" w:space="0" w:color="auto"/>
            </w:tcBorders>
          </w:tcPr>
          <w:p w14:paraId="271AA03F" w14:textId="77777777" w:rsidR="00680291" w:rsidRDefault="007D77D6" w:rsidP="00680291">
            <w:pPr>
              <w:pStyle w:val="Paragraphedeliste"/>
              <w:numPr>
                <w:ilvl w:val="0"/>
                <w:numId w:val="17"/>
              </w:numPr>
              <w:spacing w:before="60" w:after="60"/>
              <w:rPr>
                <w:rFonts w:cs="Calibri"/>
                <w:lang w:eastAsia="en-SG"/>
              </w:rPr>
            </w:pPr>
            <w:r w:rsidRPr="00633719">
              <w:rPr>
                <w:rFonts w:cs="Calibri"/>
                <w:lang w:eastAsia="en-SG"/>
              </w:rPr>
              <w:t>Specifies the RAC equipment, namely commercial water-cooled chillers, household air-conditioners and household refrigerators, that will be regulated from 1 Oct 2022 onwards</w:t>
            </w:r>
            <w:r>
              <w:rPr>
                <w:rFonts w:cs="Calibri"/>
                <w:lang w:eastAsia="en-SG"/>
              </w:rPr>
              <w:t>.</w:t>
            </w:r>
          </w:p>
          <w:p w14:paraId="43824F87" w14:textId="77777777" w:rsidR="00680291" w:rsidRDefault="007D77D6" w:rsidP="00680291">
            <w:pPr>
              <w:pStyle w:val="Paragraphedeliste"/>
              <w:numPr>
                <w:ilvl w:val="0"/>
                <w:numId w:val="17"/>
              </w:numPr>
              <w:spacing w:before="60" w:after="60"/>
              <w:rPr>
                <w:rFonts w:cs="Calibri"/>
                <w:lang w:eastAsia="en-SG"/>
              </w:rPr>
            </w:pPr>
            <w:r>
              <w:rPr>
                <w:rFonts w:cs="Calibri"/>
                <w:lang w:eastAsia="en-SG"/>
              </w:rPr>
              <w:t>Provides a transitional period for the industry to adapt to the supply restriction requirements:</w:t>
            </w:r>
          </w:p>
          <w:p w14:paraId="7931C22F" w14:textId="77777777" w:rsidR="00680291" w:rsidRDefault="00680291" w:rsidP="009D497A">
            <w:pPr>
              <w:pStyle w:val="Paragraphedeliste"/>
              <w:spacing w:before="60" w:after="60"/>
              <w:ind w:left="360"/>
              <w:rPr>
                <w:rFonts w:cs="Calibri"/>
                <w:lang w:eastAsia="en-SG"/>
              </w:rPr>
            </w:pPr>
          </w:p>
          <w:tbl>
            <w:tblPr>
              <w:tblStyle w:val="Grilledutableau"/>
              <w:tblW w:w="0" w:type="auto"/>
              <w:tblInd w:w="360" w:type="dxa"/>
              <w:tblLayout w:type="fixed"/>
              <w:tblLook w:val="04A0" w:firstRow="1" w:lastRow="0" w:firstColumn="1" w:lastColumn="0" w:noHBand="0" w:noVBand="1"/>
            </w:tblPr>
            <w:tblGrid>
              <w:gridCol w:w="1911"/>
              <w:gridCol w:w="3968"/>
            </w:tblGrid>
            <w:tr w:rsidR="00664206" w14:paraId="74F2A358" w14:textId="77777777" w:rsidTr="009D497A">
              <w:tc>
                <w:tcPr>
                  <w:tcW w:w="1911" w:type="dxa"/>
                  <w:shd w:val="clear" w:color="auto" w:fill="D9D9D9" w:themeFill="background1" w:themeFillShade="D9"/>
                </w:tcPr>
                <w:p w14:paraId="04F3849B" w14:textId="77777777" w:rsidR="00680291" w:rsidRPr="00A90B42" w:rsidRDefault="007D77D6" w:rsidP="009D497A">
                  <w:pPr>
                    <w:pStyle w:val="Paragraphedeliste"/>
                    <w:spacing w:before="60" w:after="60"/>
                    <w:ind w:left="0"/>
                    <w:jc w:val="center"/>
                    <w:rPr>
                      <w:rFonts w:cs="Calibri"/>
                      <w:b/>
                      <w:bCs/>
                      <w:sz w:val="16"/>
                      <w:szCs w:val="18"/>
                      <w:lang w:eastAsia="en-SG"/>
                    </w:rPr>
                  </w:pPr>
                  <w:r w:rsidRPr="00A90B42">
                    <w:rPr>
                      <w:rFonts w:cs="Calibri"/>
                      <w:b/>
                      <w:bCs/>
                      <w:sz w:val="16"/>
                      <w:szCs w:val="18"/>
                      <w:lang w:eastAsia="en-SG"/>
                    </w:rPr>
                    <w:t>Regulated RAC Equipment</w:t>
                  </w:r>
                </w:p>
              </w:tc>
              <w:tc>
                <w:tcPr>
                  <w:tcW w:w="3968" w:type="dxa"/>
                  <w:shd w:val="clear" w:color="auto" w:fill="D9D9D9" w:themeFill="background1" w:themeFillShade="D9"/>
                </w:tcPr>
                <w:p w14:paraId="0D32E7C8" w14:textId="77777777" w:rsidR="00680291" w:rsidRPr="00A90B42" w:rsidRDefault="007D77D6" w:rsidP="009D497A">
                  <w:pPr>
                    <w:pStyle w:val="Paragraphedeliste"/>
                    <w:spacing w:before="60" w:after="60"/>
                    <w:ind w:left="0"/>
                    <w:jc w:val="center"/>
                    <w:rPr>
                      <w:rFonts w:cs="Calibri"/>
                      <w:b/>
                      <w:bCs/>
                      <w:sz w:val="16"/>
                      <w:szCs w:val="18"/>
                      <w:lang w:eastAsia="en-SG"/>
                    </w:rPr>
                  </w:pPr>
                  <w:r w:rsidRPr="00A90B42">
                    <w:rPr>
                      <w:rFonts w:cs="Calibri"/>
                      <w:b/>
                      <w:bCs/>
                      <w:sz w:val="16"/>
                      <w:szCs w:val="18"/>
                      <w:lang w:eastAsia="en-SG"/>
                    </w:rPr>
                    <w:t>Transitional Period</w:t>
                  </w:r>
                </w:p>
              </w:tc>
            </w:tr>
            <w:tr w:rsidR="00664206" w14:paraId="445C77F7" w14:textId="77777777" w:rsidTr="009D497A">
              <w:tc>
                <w:tcPr>
                  <w:tcW w:w="1911" w:type="dxa"/>
                </w:tcPr>
                <w:p w14:paraId="1B714FF2" w14:textId="77777777" w:rsidR="00680291" w:rsidRPr="00A90B42" w:rsidRDefault="007D77D6" w:rsidP="009D497A">
                  <w:pPr>
                    <w:pStyle w:val="Paragraphedeliste"/>
                    <w:spacing w:before="60" w:after="60"/>
                    <w:ind w:left="0"/>
                    <w:jc w:val="left"/>
                    <w:rPr>
                      <w:rFonts w:cs="Calibri"/>
                      <w:sz w:val="16"/>
                      <w:szCs w:val="18"/>
                      <w:lang w:eastAsia="en-SG"/>
                    </w:rPr>
                  </w:pPr>
                  <w:r w:rsidRPr="00FE4EDD">
                    <w:rPr>
                      <w:rFonts w:cs="Calibri"/>
                      <w:sz w:val="16"/>
                      <w:szCs w:val="18"/>
                      <w:lang w:eastAsia="en-SG"/>
                    </w:rPr>
                    <w:t>Electrically driven water-cooled chillers with a cooling capacity of 1,055kW or more</w:t>
                  </w:r>
                </w:p>
              </w:tc>
              <w:tc>
                <w:tcPr>
                  <w:tcW w:w="3968" w:type="dxa"/>
                </w:tcPr>
                <w:p w14:paraId="6514BCD2" w14:textId="77777777" w:rsidR="00680291" w:rsidRPr="00A90B42" w:rsidRDefault="007D77D6" w:rsidP="009D497A">
                  <w:pPr>
                    <w:pStyle w:val="Paragraphedeliste"/>
                    <w:spacing w:before="60" w:after="60"/>
                    <w:ind w:left="0"/>
                    <w:rPr>
                      <w:rFonts w:cs="Calibri"/>
                      <w:sz w:val="16"/>
                      <w:szCs w:val="18"/>
                      <w:lang w:eastAsia="en-SG"/>
                    </w:rPr>
                  </w:pPr>
                  <w:r w:rsidRPr="00A90B42">
                    <w:rPr>
                      <w:rFonts w:cs="Calibri"/>
                      <w:sz w:val="16"/>
                      <w:szCs w:val="18"/>
                      <w:lang w:eastAsia="en-SG"/>
                    </w:rPr>
                    <w:t>Water-cooled chillers will not be regulated, and suppliers will be allowed to supply them if:</w:t>
                  </w:r>
                </w:p>
                <w:p w14:paraId="679CB02F" w14:textId="77777777" w:rsidR="00680291" w:rsidRPr="00A90B42" w:rsidRDefault="00680291" w:rsidP="009D497A">
                  <w:pPr>
                    <w:pStyle w:val="Paragraphedeliste"/>
                    <w:spacing w:before="60" w:after="60"/>
                    <w:ind w:left="0"/>
                    <w:rPr>
                      <w:rFonts w:cs="Calibri"/>
                      <w:sz w:val="16"/>
                      <w:szCs w:val="18"/>
                      <w:lang w:eastAsia="en-SG"/>
                    </w:rPr>
                  </w:pPr>
                </w:p>
                <w:p w14:paraId="011FEA7F" w14:textId="77777777" w:rsidR="00680291" w:rsidRPr="00A90B42" w:rsidRDefault="007D77D6" w:rsidP="00680291">
                  <w:pPr>
                    <w:pStyle w:val="Paragraphedeliste"/>
                    <w:numPr>
                      <w:ilvl w:val="0"/>
                      <w:numId w:val="18"/>
                    </w:numPr>
                    <w:spacing w:before="60" w:after="60"/>
                    <w:rPr>
                      <w:rFonts w:cs="Calibri"/>
                      <w:sz w:val="16"/>
                      <w:szCs w:val="18"/>
                      <w:lang w:eastAsia="en-SG"/>
                    </w:rPr>
                  </w:pPr>
                  <w:r w:rsidRPr="00A90B42">
                    <w:rPr>
                      <w:rFonts w:cs="Calibri"/>
                      <w:sz w:val="16"/>
                      <w:szCs w:val="18"/>
                      <w:lang w:eastAsia="en-SG"/>
                    </w:rPr>
                    <w:t>The chiller was imported into or manufactured in Singapore before 1 Oct 2022, and is supplied between 1 Oct 2022 and 30 Sep 2023 (both dates inclusive);</w:t>
                  </w:r>
                </w:p>
                <w:p w14:paraId="4073C16F" w14:textId="77777777" w:rsidR="00680291" w:rsidRPr="00A90B42" w:rsidRDefault="00680291" w:rsidP="009D497A">
                  <w:pPr>
                    <w:pStyle w:val="Paragraphedeliste"/>
                    <w:spacing w:before="60" w:after="60"/>
                    <w:ind w:left="360"/>
                    <w:rPr>
                      <w:rFonts w:cs="Calibri"/>
                      <w:sz w:val="16"/>
                      <w:szCs w:val="18"/>
                      <w:lang w:eastAsia="en-SG"/>
                    </w:rPr>
                  </w:pPr>
                </w:p>
                <w:p w14:paraId="33D09B1D" w14:textId="77777777" w:rsidR="00680291" w:rsidRPr="00A90B42" w:rsidRDefault="007D77D6" w:rsidP="00680291">
                  <w:pPr>
                    <w:pStyle w:val="Paragraphedeliste"/>
                    <w:numPr>
                      <w:ilvl w:val="0"/>
                      <w:numId w:val="18"/>
                    </w:numPr>
                    <w:spacing w:before="60" w:after="60"/>
                    <w:rPr>
                      <w:rFonts w:cs="Calibri"/>
                      <w:sz w:val="16"/>
                      <w:szCs w:val="18"/>
                      <w:lang w:eastAsia="en-SG"/>
                    </w:rPr>
                  </w:pPr>
                  <w:r w:rsidRPr="00FE4EDD">
                    <w:rPr>
                      <w:rFonts w:cs="Calibri"/>
                      <w:sz w:val="16"/>
                      <w:szCs w:val="18"/>
                      <w:lang w:eastAsia="en-SG"/>
                    </w:rPr>
                    <w:t xml:space="preserve">The chiller is supplied pursuant to an agreement entered into before 1 Oct 2022 and is not a substitute chiller; or </w:t>
                  </w:r>
                </w:p>
                <w:p w14:paraId="64DB7A07" w14:textId="77777777" w:rsidR="00680291" w:rsidRPr="00FE4EDD" w:rsidRDefault="00680291" w:rsidP="009D497A">
                  <w:pPr>
                    <w:spacing w:before="60" w:after="60"/>
                    <w:rPr>
                      <w:rFonts w:cs="Calibri"/>
                      <w:sz w:val="16"/>
                      <w:szCs w:val="18"/>
                      <w:lang w:eastAsia="en-SG"/>
                    </w:rPr>
                  </w:pPr>
                </w:p>
                <w:p w14:paraId="52E55E38" w14:textId="77777777" w:rsidR="00680291" w:rsidRPr="001057CB" w:rsidRDefault="007D77D6" w:rsidP="00680291">
                  <w:pPr>
                    <w:pStyle w:val="Paragraphedeliste"/>
                    <w:numPr>
                      <w:ilvl w:val="0"/>
                      <w:numId w:val="18"/>
                    </w:numPr>
                    <w:spacing w:before="60" w:after="60"/>
                    <w:rPr>
                      <w:rFonts w:cs="Calibri"/>
                      <w:sz w:val="16"/>
                      <w:szCs w:val="18"/>
                      <w:lang w:eastAsia="en-SG"/>
                    </w:rPr>
                  </w:pPr>
                  <w:r w:rsidRPr="00FE4EDD">
                    <w:rPr>
                      <w:rFonts w:cs="Calibri"/>
                      <w:sz w:val="16"/>
                      <w:szCs w:val="18"/>
                      <w:lang w:eastAsia="en-SG"/>
                    </w:rPr>
                    <w:t>The chiller is supplied pursuant to a warranty in the agreement under which a chiller mentioned in (a) or (b) is supplied, as a replacement of the same brand and model as that</w:t>
                  </w:r>
                  <w:r w:rsidRPr="00A90B42">
                    <w:rPr>
                      <w:rFonts w:cs="Calibri"/>
                      <w:sz w:val="16"/>
                      <w:szCs w:val="18"/>
                      <w:lang w:eastAsia="en-SG"/>
                    </w:rPr>
                    <w:t xml:space="preserve"> chiller.</w:t>
                  </w:r>
                </w:p>
              </w:tc>
            </w:tr>
            <w:tr w:rsidR="00664206" w14:paraId="774467C4" w14:textId="77777777" w:rsidTr="009D497A">
              <w:trPr>
                <w:trHeight w:val="2729"/>
              </w:trPr>
              <w:tc>
                <w:tcPr>
                  <w:tcW w:w="1911" w:type="dxa"/>
                </w:tcPr>
                <w:p w14:paraId="2A730E9B" w14:textId="77777777" w:rsidR="00680291" w:rsidRDefault="007D77D6" w:rsidP="009D497A">
                  <w:pPr>
                    <w:pStyle w:val="Paragraphedeliste"/>
                    <w:spacing w:before="60" w:after="60"/>
                    <w:ind w:left="0"/>
                    <w:jc w:val="left"/>
                    <w:rPr>
                      <w:rFonts w:cstheme="minorHAnsi"/>
                      <w:sz w:val="16"/>
                      <w:szCs w:val="16"/>
                      <w:lang w:eastAsia="en-SG"/>
                    </w:rPr>
                  </w:pPr>
                  <w:r w:rsidRPr="00A90B42">
                    <w:rPr>
                      <w:rFonts w:cstheme="minorHAnsi"/>
                      <w:sz w:val="16"/>
                      <w:szCs w:val="16"/>
                      <w:lang w:eastAsia="en-SG"/>
                    </w:rPr>
                    <w:t>Single-phase non-ducted room air-conditioner (split type (inverter)) with cooling capacity of 17.6 kW or lower, that is not a single-phase variable refrigerant flow (VRF) air conditioner</w:t>
                  </w:r>
                </w:p>
                <w:p w14:paraId="1B041BEA" w14:textId="77777777" w:rsidR="00680291" w:rsidRDefault="00680291" w:rsidP="009D497A">
                  <w:pPr>
                    <w:pStyle w:val="Paragraphedeliste"/>
                    <w:spacing w:before="60" w:after="60"/>
                    <w:ind w:left="0"/>
                    <w:jc w:val="left"/>
                    <w:rPr>
                      <w:rFonts w:cs="Calibri"/>
                      <w:sz w:val="16"/>
                      <w:szCs w:val="18"/>
                      <w:lang w:eastAsia="en-SG"/>
                    </w:rPr>
                  </w:pPr>
                </w:p>
                <w:p w14:paraId="07AF9E0D" w14:textId="77777777" w:rsidR="00680291" w:rsidRDefault="007D77D6" w:rsidP="009D497A">
                  <w:pPr>
                    <w:pStyle w:val="Paragraphedeliste"/>
                    <w:spacing w:before="60" w:after="60"/>
                    <w:ind w:left="0"/>
                    <w:jc w:val="left"/>
                    <w:rPr>
                      <w:rFonts w:cstheme="minorHAnsi"/>
                      <w:sz w:val="16"/>
                      <w:szCs w:val="16"/>
                      <w:lang w:eastAsia="en-SG"/>
                    </w:rPr>
                  </w:pPr>
                  <w:r w:rsidRPr="00A90B42">
                    <w:rPr>
                      <w:rFonts w:cstheme="minorHAnsi"/>
                      <w:sz w:val="16"/>
                      <w:szCs w:val="16"/>
                      <w:lang w:eastAsia="en-SG"/>
                    </w:rPr>
                    <w:t>Single-phase non-ducted room air-conditioner (split type (non-inverter)) with cooling capacity of 17.6 kW or lower</w:t>
                  </w:r>
                </w:p>
                <w:p w14:paraId="774F1B7B" w14:textId="77777777" w:rsidR="00680291" w:rsidRPr="00A90B42" w:rsidRDefault="00680291" w:rsidP="009D497A">
                  <w:pPr>
                    <w:pStyle w:val="Paragraphedeliste"/>
                    <w:spacing w:before="60" w:after="60"/>
                    <w:ind w:left="0"/>
                    <w:jc w:val="left"/>
                    <w:rPr>
                      <w:rFonts w:cs="Calibri"/>
                      <w:sz w:val="16"/>
                      <w:szCs w:val="18"/>
                      <w:lang w:eastAsia="en-SG"/>
                    </w:rPr>
                  </w:pPr>
                </w:p>
              </w:tc>
              <w:tc>
                <w:tcPr>
                  <w:tcW w:w="3968" w:type="dxa"/>
                  <w:vMerge w:val="restart"/>
                </w:tcPr>
                <w:p w14:paraId="30DE37D1" w14:textId="77777777" w:rsidR="00680291" w:rsidRPr="00A90B42" w:rsidRDefault="007D77D6" w:rsidP="009D497A">
                  <w:pPr>
                    <w:pStyle w:val="Paragraphedeliste"/>
                    <w:spacing w:before="60" w:after="60"/>
                    <w:ind w:left="0"/>
                    <w:rPr>
                      <w:rFonts w:cs="Calibri"/>
                      <w:sz w:val="16"/>
                      <w:szCs w:val="18"/>
                      <w:lang w:eastAsia="en-SG"/>
                    </w:rPr>
                  </w:pPr>
                  <w:r w:rsidRPr="00A90B42">
                    <w:rPr>
                      <w:rFonts w:cs="Calibri"/>
                      <w:sz w:val="16"/>
                      <w:szCs w:val="18"/>
                      <w:lang w:eastAsia="en-SG"/>
                    </w:rPr>
                    <w:t>Household air-conditioners and/or household refrigerators will not be regulated, and suppliers will be allowed to supply them if:</w:t>
                  </w:r>
                </w:p>
                <w:p w14:paraId="581029C3" w14:textId="77777777" w:rsidR="00680291" w:rsidRPr="00A90B42" w:rsidRDefault="00680291" w:rsidP="009D497A">
                  <w:pPr>
                    <w:pStyle w:val="Paragraphedeliste"/>
                    <w:spacing w:before="60" w:after="60"/>
                    <w:ind w:left="0"/>
                    <w:rPr>
                      <w:rFonts w:cs="Calibri"/>
                      <w:sz w:val="16"/>
                      <w:szCs w:val="18"/>
                      <w:lang w:eastAsia="en-SG"/>
                    </w:rPr>
                  </w:pPr>
                </w:p>
                <w:p w14:paraId="7F1EF9B3" w14:textId="77777777" w:rsidR="00680291" w:rsidRPr="00A90B42" w:rsidRDefault="007D77D6" w:rsidP="00680291">
                  <w:pPr>
                    <w:pStyle w:val="Paragraphedeliste"/>
                    <w:numPr>
                      <w:ilvl w:val="0"/>
                      <w:numId w:val="19"/>
                    </w:numPr>
                    <w:spacing w:before="60" w:after="60"/>
                    <w:rPr>
                      <w:rFonts w:cs="Calibri"/>
                      <w:sz w:val="16"/>
                      <w:szCs w:val="18"/>
                      <w:lang w:eastAsia="en-SG"/>
                    </w:rPr>
                  </w:pPr>
                  <w:r w:rsidRPr="00A90B42">
                    <w:rPr>
                      <w:rFonts w:cs="Calibri"/>
                      <w:sz w:val="16"/>
                      <w:szCs w:val="18"/>
                      <w:lang w:eastAsia="en-SG"/>
                    </w:rPr>
                    <w:t>The air-conditioner and/or refrigerator was imported into or manufactured in Singapore before 1 Oct 2022, and is supplied between 1 Oct 2022 and 30 Sep 2023 (both dates inclusive);</w:t>
                  </w:r>
                </w:p>
                <w:p w14:paraId="625E3C64" w14:textId="77777777" w:rsidR="00680291" w:rsidRPr="00A90B42" w:rsidRDefault="00680291" w:rsidP="009D497A">
                  <w:pPr>
                    <w:pStyle w:val="Paragraphedeliste"/>
                    <w:spacing w:before="60" w:after="60"/>
                    <w:ind w:left="360"/>
                    <w:rPr>
                      <w:rFonts w:cs="Calibri"/>
                      <w:sz w:val="16"/>
                      <w:szCs w:val="18"/>
                      <w:lang w:eastAsia="en-SG"/>
                    </w:rPr>
                  </w:pPr>
                </w:p>
                <w:p w14:paraId="543FA59D" w14:textId="77777777" w:rsidR="00680291" w:rsidRPr="00A90B42" w:rsidRDefault="007D77D6" w:rsidP="00680291">
                  <w:pPr>
                    <w:pStyle w:val="Paragraphedeliste"/>
                    <w:numPr>
                      <w:ilvl w:val="0"/>
                      <w:numId w:val="19"/>
                    </w:numPr>
                    <w:spacing w:before="60" w:after="60"/>
                    <w:rPr>
                      <w:rFonts w:cs="Calibri"/>
                      <w:sz w:val="16"/>
                      <w:szCs w:val="18"/>
                      <w:lang w:eastAsia="en-SG"/>
                    </w:rPr>
                  </w:pPr>
                  <w:r w:rsidRPr="00A90B42">
                    <w:rPr>
                      <w:rFonts w:cs="Calibri"/>
                      <w:sz w:val="16"/>
                      <w:szCs w:val="18"/>
                      <w:lang w:eastAsia="en-SG"/>
                    </w:rPr>
                    <w:t>The air-conditioner and/or refrigerator is supplied pursuant to an agreement entered into before 31 Mar 2022; or</w:t>
                  </w:r>
                </w:p>
                <w:p w14:paraId="28C15758" w14:textId="77777777" w:rsidR="00680291" w:rsidRPr="00FE4EDD" w:rsidRDefault="00680291" w:rsidP="009D497A">
                  <w:pPr>
                    <w:spacing w:before="60" w:after="60"/>
                    <w:rPr>
                      <w:rFonts w:cs="Calibri"/>
                      <w:sz w:val="16"/>
                      <w:szCs w:val="18"/>
                      <w:lang w:eastAsia="en-SG"/>
                    </w:rPr>
                  </w:pPr>
                </w:p>
                <w:p w14:paraId="1C40A69C" w14:textId="77777777" w:rsidR="00680291" w:rsidRPr="001057CB" w:rsidRDefault="007D77D6" w:rsidP="00680291">
                  <w:pPr>
                    <w:pStyle w:val="Paragraphedeliste"/>
                    <w:numPr>
                      <w:ilvl w:val="0"/>
                      <w:numId w:val="19"/>
                    </w:numPr>
                    <w:spacing w:before="60" w:after="60"/>
                    <w:rPr>
                      <w:rFonts w:cs="Calibri"/>
                      <w:sz w:val="16"/>
                      <w:szCs w:val="18"/>
                      <w:lang w:eastAsia="en-SG"/>
                    </w:rPr>
                  </w:pPr>
                  <w:r w:rsidRPr="00A90B42">
                    <w:rPr>
                      <w:rFonts w:cs="Calibri"/>
                      <w:sz w:val="16"/>
                      <w:szCs w:val="18"/>
                      <w:lang w:eastAsia="en-SG"/>
                    </w:rPr>
                    <w:t xml:space="preserve">The air-conditioner and/or refrigerator is supplied between 1 Oct 2022 and 30 Sep 2023 (both dates inclusive) pursuant to an </w:t>
                  </w:r>
                  <w:r w:rsidRPr="00A90B42">
                    <w:rPr>
                      <w:rFonts w:cs="Calibri"/>
                      <w:sz w:val="16"/>
                      <w:szCs w:val="18"/>
                      <w:lang w:eastAsia="en-SG"/>
                    </w:rPr>
                    <w:lastRenderedPageBreak/>
                    <w:t>agreement entered into on or after 31 Mar 2022, but before 1 Oct 2022</w:t>
                  </w:r>
                  <w:r>
                    <w:rPr>
                      <w:rFonts w:cs="Calibri"/>
                      <w:sz w:val="16"/>
                      <w:szCs w:val="18"/>
                      <w:lang w:eastAsia="en-SG"/>
                    </w:rPr>
                    <w:t>.</w:t>
                  </w:r>
                </w:p>
              </w:tc>
            </w:tr>
            <w:tr w:rsidR="00664206" w14:paraId="3BE1356C" w14:textId="77777777" w:rsidTr="009D497A">
              <w:trPr>
                <w:trHeight w:val="1116"/>
              </w:trPr>
              <w:tc>
                <w:tcPr>
                  <w:tcW w:w="1911" w:type="dxa"/>
                </w:tcPr>
                <w:p w14:paraId="164DB3C8" w14:textId="77777777" w:rsidR="00680291" w:rsidRDefault="007D77D6" w:rsidP="009D497A">
                  <w:pPr>
                    <w:pStyle w:val="Paragraphedeliste"/>
                    <w:spacing w:before="60" w:after="60"/>
                    <w:ind w:left="0"/>
                    <w:jc w:val="left"/>
                    <w:rPr>
                      <w:rFonts w:cs="Calibri"/>
                      <w:lang w:eastAsia="en-SG"/>
                    </w:rPr>
                  </w:pPr>
                  <w:r w:rsidRPr="00A90B42">
                    <w:rPr>
                      <w:rFonts w:cstheme="minorHAnsi"/>
                      <w:sz w:val="16"/>
                      <w:szCs w:val="16"/>
                      <w:lang w:eastAsia="en-SG"/>
                    </w:rPr>
                    <w:lastRenderedPageBreak/>
                    <w:t>Single-phase refrigerator with an adjusted volume of up to 900 litres</w:t>
                  </w:r>
                  <w:r w:rsidRPr="00DE3F74">
                    <w:rPr>
                      <w:rFonts w:cs="Calibri"/>
                      <w:sz w:val="16"/>
                      <w:szCs w:val="18"/>
                      <w:lang w:eastAsia="en-SG"/>
                    </w:rPr>
                    <w:t xml:space="preserve"> </w:t>
                  </w:r>
                </w:p>
              </w:tc>
              <w:tc>
                <w:tcPr>
                  <w:tcW w:w="3968" w:type="dxa"/>
                  <w:vMerge/>
                </w:tcPr>
                <w:p w14:paraId="3DF6B096" w14:textId="77777777" w:rsidR="00680291" w:rsidRDefault="00680291" w:rsidP="009D497A">
                  <w:pPr>
                    <w:pStyle w:val="Paragraphedeliste"/>
                    <w:spacing w:before="60" w:after="60"/>
                    <w:ind w:left="0"/>
                    <w:rPr>
                      <w:rFonts w:cs="Calibri"/>
                      <w:lang w:eastAsia="en-SG"/>
                    </w:rPr>
                  </w:pPr>
                </w:p>
              </w:tc>
            </w:tr>
          </w:tbl>
          <w:p w14:paraId="49CB3C49" w14:textId="77777777" w:rsidR="00680291" w:rsidRPr="00A90B42" w:rsidRDefault="00680291" w:rsidP="009D497A">
            <w:pPr>
              <w:spacing w:before="60" w:after="60"/>
              <w:rPr>
                <w:rFonts w:cs="Calibri"/>
                <w:lang w:eastAsia="en-SG"/>
              </w:rPr>
            </w:pPr>
          </w:p>
        </w:tc>
      </w:tr>
      <w:tr w:rsidR="00664206" w14:paraId="00460361" w14:textId="77777777" w:rsidTr="009D497A">
        <w:trPr>
          <w:trHeight w:val="7361"/>
          <w:jc w:val="center"/>
        </w:trPr>
        <w:tc>
          <w:tcPr>
            <w:tcW w:w="621" w:type="dxa"/>
            <w:tcBorders>
              <w:top w:val="single" w:sz="4" w:space="0" w:color="auto"/>
              <w:left w:val="single" w:sz="4" w:space="0" w:color="auto"/>
              <w:bottom w:val="single" w:sz="4" w:space="0" w:color="auto"/>
              <w:right w:val="single" w:sz="4" w:space="0" w:color="auto"/>
            </w:tcBorders>
            <w:hideMark/>
          </w:tcPr>
          <w:p w14:paraId="3CB2A0E9" w14:textId="77777777" w:rsidR="00680291" w:rsidRPr="00DB4AAA" w:rsidRDefault="007D77D6" w:rsidP="009D497A">
            <w:pPr>
              <w:spacing w:before="60" w:after="60"/>
              <w:jc w:val="center"/>
              <w:rPr>
                <w:rFonts w:cs="Calibri"/>
                <w:lang w:eastAsia="en-SG" w:bidi="ta-IN"/>
              </w:rPr>
            </w:pPr>
            <w:r w:rsidRPr="00DB4AAA">
              <w:rPr>
                <w:rFonts w:cs="Calibri"/>
                <w:lang w:eastAsia="en-SG" w:bidi="ta-IN"/>
              </w:rPr>
              <w:lastRenderedPageBreak/>
              <w:t>3</w:t>
            </w:r>
          </w:p>
        </w:tc>
        <w:tc>
          <w:tcPr>
            <w:tcW w:w="1525" w:type="dxa"/>
            <w:tcBorders>
              <w:top w:val="single" w:sz="4" w:space="0" w:color="auto"/>
              <w:left w:val="single" w:sz="4" w:space="0" w:color="auto"/>
              <w:bottom w:val="single" w:sz="4" w:space="0" w:color="auto"/>
              <w:right w:val="single" w:sz="4" w:space="0" w:color="auto"/>
            </w:tcBorders>
            <w:hideMark/>
          </w:tcPr>
          <w:p w14:paraId="2BD3E0AA" w14:textId="77777777" w:rsidR="00680291" w:rsidRPr="00DB4AAA" w:rsidRDefault="007D77D6" w:rsidP="009D497A">
            <w:pPr>
              <w:spacing w:before="60" w:after="60"/>
              <w:jc w:val="left"/>
              <w:rPr>
                <w:rFonts w:cstheme="minorHAnsi"/>
                <w:lang w:eastAsia="en-SG"/>
              </w:rPr>
            </w:pPr>
            <w:r w:rsidRPr="00633719">
              <w:rPr>
                <w:rFonts w:cstheme="minorHAnsi"/>
                <w:lang w:eastAsia="en-SG" w:bidi="ta-IN"/>
              </w:rPr>
              <w:t>E</w:t>
            </w:r>
            <w:r>
              <w:rPr>
                <w:rFonts w:cstheme="minorHAnsi"/>
                <w:lang w:eastAsia="en-SG" w:bidi="ta-IN"/>
              </w:rPr>
              <w:t xml:space="preserve">nvironmental </w:t>
            </w:r>
            <w:r w:rsidRPr="00633719">
              <w:rPr>
                <w:rFonts w:cstheme="minorHAnsi"/>
                <w:lang w:eastAsia="en-SG" w:bidi="ta-IN"/>
              </w:rPr>
              <w:t>P</w:t>
            </w:r>
            <w:r>
              <w:rPr>
                <w:rFonts w:cstheme="minorHAnsi"/>
                <w:lang w:eastAsia="en-SG" w:bidi="ta-IN"/>
              </w:rPr>
              <w:t xml:space="preserve">rotection and </w:t>
            </w:r>
            <w:r w:rsidRPr="00633719">
              <w:rPr>
                <w:rFonts w:cstheme="minorHAnsi"/>
                <w:lang w:eastAsia="en-SG" w:bidi="ta-IN"/>
              </w:rPr>
              <w:t>M</w:t>
            </w:r>
            <w:r>
              <w:rPr>
                <w:rFonts w:cstheme="minorHAnsi"/>
                <w:lang w:eastAsia="en-SG" w:bidi="ta-IN"/>
              </w:rPr>
              <w:t>anagement</w:t>
            </w:r>
            <w:r w:rsidRPr="00633719">
              <w:rPr>
                <w:rFonts w:cstheme="minorHAnsi"/>
                <w:lang w:eastAsia="en-SG" w:bidi="ta-IN"/>
              </w:rPr>
              <w:t xml:space="preserve"> (Regulated Goods and Registered Suppliers) Regulations 2022</w:t>
            </w:r>
          </w:p>
        </w:tc>
        <w:tc>
          <w:tcPr>
            <w:tcW w:w="6496" w:type="dxa"/>
            <w:tcBorders>
              <w:top w:val="single" w:sz="4" w:space="0" w:color="auto"/>
              <w:left w:val="single" w:sz="4" w:space="0" w:color="auto"/>
              <w:bottom w:val="single" w:sz="4" w:space="0" w:color="auto"/>
              <w:right w:val="single" w:sz="4" w:space="0" w:color="auto"/>
            </w:tcBorders>
            <w:hideMark/>
          </w:tcPr>
          <w:p w14:paraId="7A5EA150" w14:textId="77777777" w:rsidR="00680291" w:rsidRDefault="007D77D6" w:rsidP="00680291">
            <w:pPr>
              <w:pStyle w:val="Paragraphedeliste"/>
              <w:numPr>
                <w:ilvl w:val="0"/>
                <w:numId w:val="17"/>
              </w:numPr>
              <w:spacing w:before="60" w:after="60"/>
              <w:rPr>
                <w:rFonts w:cstheme="minorHAnsi"/>
                <w:lang w:eastAsia="en-SG"/>
              </w:rPr>
            </w:pPr>
            <w:r>
              <w:rPr>
                <w:rFonts w:cstheme="minorHAnsi"/>
                <w:lang w:eastAsia="en-SG"/>
              </w:rPr>
              <w:t xml:space="preserve">Specifies registration </w:t>
            </w:r>
            <w:r w:rsidRPr="00953219">
              <w:rPr>
                <w:rFonts w:cstheme="minorHAnsi"/>
                <w:lang w:eastAsia="en-SG"/>
              </w:rPr>
              <w:t>requirements (including fees imposed) for suppliers and the regulated RAC equipment.</w:t>
            </w:r>
          </w:p>
          <w:p w14:paraId="1B5F65D0" w14:textId="77777777" w:rsidR="00680291" w:rsidRDefault="007D77D6" w:rsidP="00680291">
            <w:pPr>
              <w:pStyle w:val="Paragraphedeliste"/>
              <w:numPr>
                <w:ilvl w:val="0"/>
                <w:numId w:val="17"/>
              </w:numPr>
              <w:spacing w:before="60" w:after="60"/>
              <w:rPr>
                <w:rFonts w:cstheme="minorHAnsi"/>
                <w:lang w:eastAsia="en-SG"/>
              </w:rPr>
            </w:pPr>
            <w:r>
              <w:rPr>
                <w:rFonts w:cstheme="minorHAnsi"/>
                <w:lang w:eastAsia="en-SG"/>
              </w:rPr>
              <w:t>Lays out the prevailing test standard or method applicable to the regulated RAC equipment.</w:t>
            </w:r>
          </w:p>
          <w:p w14:paraId="35D197D5" w14:textId="77777777" w:rsidR="00680291" w:rsidRPr="006523CB" w:rsidRDefault="007D77D6" w:rsidP="00680291">
            <w:pPr>
              <w:pStyle w:val="Paragraphedeliste"/>
              <w:numPr>
                <w:ilvl w:val="0"/>
                <w:numId w:val="17"/>
              </w:numPr>
              <w:spacing w:before="60" w:after="60"/>
              <w:rPr>
                <w:rFonts w:cstheme="minorHAnsi"/>
                <w:lang w:eastAsia="en-SG"/>
              </w:rPr>
            </w:pPr>
            <w:r>
              <w:rPr>
                <w:rFonts w:cstheme="minorHAnsi"/>
                <w:lang w:eastAsia="en-SG"/>
              </w:rPr>
              <w:t>Stipulates that the r</w:t>
            </w:r>
            <w:r w:rsidRPr="006523CB">
              <w:rPr>
                <w:rFonts w:cstheme="minorHAnsi"/>
                <w:lang w:eastAsia="en-SG"/>
              </w:rPr>
              <w:t>efrigerants used in regulated RAC equipment must not exceed the following GWP limits:</w:t>
            </w:r>
          </w:p>
          <w:p w14:paraId="44BA93DB" w14:textId="77777777" w:rsidR="00680291" w:rsidRDefault="00680291" w:rsidP="009D497A">
            <w:pPr>
              <w:spacing w:before="60" w:after="60"/>
              <w:rPr>
                <w:rFonts w:cstheme="minorHAnsi"/>
                <w:lang w:eastAsia="en-SG"/>
              </w:rPr>
            </w:pPr>
          </w:p>
          <w:tbl>
            <w:tblPr>
              <w:tblStyle w:val="Grilledutableau"/>
              <w:tblW w:w="0" w:type="auto"/>
              <w:tblInd w:w="360" w:type="dxa"/>
              <w:tblLayout w:type="fixed"/>
              <w:tblLook w:val="04A0" w:firstRow="1" w:lastRow="0" w:firstColumn="1" w:lastColumn="0" w:noHBand="0" w:noVBand="1"/>
            </w:tblPr>
            <w:tblGrid>
              <w:gridCol w:w="2941"/>
              <w:gridCol w:w="2941"/>
            </w:tblGrid>
            <w:tr w:rsidR="00664206" w14:paraId="08F66B3E" w14:textId="77777777" w:rsidTr="009D497A">
              <w:trPr>
                <w:trHeight w:val="337"/>
              </w:trPr>
              <w:tc>
                <w:tcPr>
                  <w:tcW w:w="2941" w:type="dxa"/>
                  <w:shd w:val="clear" w:color="auto" w:fill="D9D9D9" w:themeFill="background1" w:themeFillShade="D9"/>
                  <w:vAlign w:val="center"/>
                </w:tcPr>
                <w:p w14:paraId="44C70B5B" w14:textId="77777777" w:rsidR="00680291" w:rsidRPr="00FE4EDD" w:rsidRDefault="007D77D6" w:rsidP="009D497A">
                  <w:pPr>
                    <w:spacing w:before="60" w:after="60"/>
                    <w:jc w:val="center"/>
                    <w:rPr>
                      <w:rFonts w:cstheme="minorHAnsi"/>
                      <w:b/>
                      <w:bCs/>
                      <w:sz w:val="16"/>
                      <w:szCs w:val="16"/>
                      <w:lang w:eastAsia="en-SG"/>
                    </w:rPr>
                  </w:pPr>
                  <w:r w:rsidRPr="00FE4EDD">
                    <w:rPr>
                      <w:rFonts w:cstheme="minorHAnsi"/>
                      <w:b/>
                      <w:bCs/>
                      <w:sz w:val="16"/>
                      <w:szCs w:val="16"/>
                      <w:lang w:eastAsia="en-SG"/>
                    </w:rPr>
                    <w:t>Regulated RAC Equipment</w:t>
                  </w:r>
                </w:p>
              </w:tc>
              <w:tc>
                <w:tcPr>
                  <w:tcW w:w="2941" w:type="dxa"/>
                  <w:shd w:val="clear" w:color="auto" w:fill="D9D9D9" w:themeFill="background1" w:themeFillShade="D9"/>
                  <w:vAlign w:val="center"/>
                </w:tcPr>
                <w:p w14:paraId="230B70E3" w14:textId="77777777" w:rsidR="00680291" w:rsidRPr="00FE4EDD" w:rsidRDefault="007D77D6" w:rsidP="009D497A">
                  <w:pPr>
                    <w:spacing w:before="60" w:after="60"/>
                    <w:jc w:val="center"/>
                    <w:rPr>
                      <w:rFonts w:cstheme="minorHAnsi"/>
                      <w:b/>
                      <w:bCs/>
                      <w:sz w:val="16"/>
                      <w:szCs w:val="16"/>
                      <w:lang w:eastAsia="en-SG"/>
                    </w:rPr>
                  </w:pPr>
                  <w:r>
                    <w:rPr>
                      <w:rFonts w:cstheme="minorHAnsi"/>
                      <w:b/>
                      <w:bCs/>
                      <w:sz w:val="16"/>
                      <w:szCs w:val="16"/>
                      <w:lang w:eastAsia="en-SG"/>
                    </w:rPr>
                    <w:t>Global Warming Potential</w:t>
                  </w:r>
                </w:p>
              </w:tc>
            </w:tr>
            <w:tr w:rsidR="00664206" w14:paraId="0CF2544F" w14:textId="77777777" w:rsidTr="009D497A">
              <w:trPr>
                <w:trHeight w:val="1054"/>
              </w:trPr>
              <w:tc>
                <w:tcPr>
                  <w:tcW w:w="2941" w:type="dxa"/>
                  <w:vAlign w:val="center"/>
                </w:tcPr>
                <w:p w14:paraId="707CD488" w14:textId="77777777" w:rsidR="00680291" w:rsidRPr="00A90B42" w:rsidRDefault="007D77D6" w:rsidP="009D497A">
                  <w:pPr>
                    <w:spacing w:before="60" w:after="60"/>
                    <w:jc w:val="left"/>
                    <w:rPr>
                      <w:rFonts w:cstheme="minorHAnsi"/>
                      <w:sz w:val="16"/>
                      <w:szCs w:val="16"/>
                      <w:lang w:eastAsia="en-SG"/>
                    </w:rPr>
                  </w:pPr>
                  <w:r w:rsidRPr="00A90B42">
                    <w:rPr>
                      <w:rFonts w:cstheme="minorHAnsi"/>
                      <w:sz w:val="16"/>
                      <w:szCs w:val="16"/>
                      <w:lang w:eastAsia="en-SG"/>
                    </w:rPr>
                    <w:t>Electrically driven water-cooled chillers with a cooling capacity of 1,055kW or more</w:t>
                  </w:r>
                </w:p>
              </w:tc>
              <w:tc>
                <w:tcPr>
                  <w:tcW w:w="2941" w:type="dxa"/>
                  <w:vAlign w:val="center"/>
                </w:tcPr>
                <w:p w14:paraId="7FF24948" w14:textId="77777777" w:rsidR="00680291" w:rsidRPr="00A90B42" w:rsidRDefault="007D77D6" w:rsidP="009D497A">
                  <w:pPr>
                    <w:spacing w:before="60" w:after="60"/>
                    <w:jc w:val="center"/>
                    <w:rPr>
                      <w:rFonts w:cstheme="minorHAnsi"/>
                      <w:sz w:val="16"/>
                      <w:szCs w:val="16"/>
                      <w:lang w:eastAsia="en-SG"/>
                    </w:rPr>
                  </w:pPr>
                  <w:r w:rsidRPr="00A90B42">
                    <w:rPr>
                      <w:rFonts w:cstheme="minorHAnsi"/>
                      <w:sz w:val="16"/>
                      <w:szCs w:val="16"/>
                      <w:lang w:eastAsia="en-SG"/>
                    </w:rPr>
                    <w:t>15</w:t>
                  </w:r>
                </w:p>
              </w:tc>
            </w:tr>
            <w:tr w:rsidR="00664206" w14:paraId="65AFBFAB" w14:textId="77777777" w:rsidTr="009D497A">
              <w:trPr>
                <w:trHeight w:val="1849"/>
              </w:trPr>
              <w:tc>
                <w:tcPr>
                  <w:tcW w:w="2941" w:type="dxa"/>
                  <w:vAlign w:val="center"/>
                </w:tcPr>
                <w:p w14:paraId="479905A2" w14:textId="77777777" w:rsidR="00680291" w:rsidRPr="00A90B42" w:rsidRDefault="007D77D6" w:rsidP="009D497A">
                  <w:pPr>
                    <w:spacing w:before="60" w:after="60"/>
                    <w:jc w:val="left"/>
                    <w:rPr>
                      <w:rFonts w:cstheme="minorHAnsi"/>
                      <w:sz w:val="16"/>
                      <w:szCs w:val="16"/>
                      <w:lang w:eastAsia="en-SG"/>
                    </w:rPr>
                  </w:pPr>
                  <w:r w:rsidRPr="00A90B42">
                    <w:rPr>
                      <w:rFonts w:cstheme="minorHAnsi"/>
                      <w:sz w:val="16"/>
                      <w:szCs w:val="16"/>
                      <w:lang w:eastAsia="en-SG"/>
                    </w:rPr>
                    <w:t>Single-phase non-ducted room air-conditioner (split type (inverter)) with cooling capacity of 17.6 kW or lower, that is not a single-phase variable refrigerant flow (VRF) air conditioner</w:t>
                  </w:r>
                </w:p>
              </w:tc>
              <w:tc>
                <w:tcPr>
                  <w:tcW w:w="2941" w:type="dxa"/>
                  <w:vAlign w:val="center"/>
                </w:tcPr>
                <w:p w14:paraId="5479F4C3" w14:textId="77777777" w:rsidR="00680291" w:rsidRPr="00A90B42" w:rsidRDefault="007D77D6" w:rsidP="009D497A">
                  <w:pPr>
                    <w:spacing w:before="60" w:after="60"/>
                    <w:jc w:val="center"/>
                    <w:rPr>
                      <w:rFonts w:cstheme="minorHAnsi"/>
                      <w:sz w:val="16"/>
                      <w:szCs w:val="16"/>
                      <w:lang w:eastAsia="en-SG"/>
                    </w:rPr>
                  </w:pPr>
                  <w:r w:rsidRPr="00A90B42">
                    <w:rPr>
                      <w:rFonts w:cstheme="minorHAnsi"/>
                      <w:sz w:val="16"/>
                      <w:szCs w:val="16"/>
                      <w:lang w:eastAsia="en-SG"/>
                    </w:rPr>
                    <w:t>750</w:t>
                  </w:r>
                </w:p>
              </w:tc>
            </w:tr>
            <w:tr w:rsidR="00664206" w14:paraId="5E835554" w14:textId="77777777" w:rsidTr="009D497A">
              <w:trPr>
                <w:trHeight w:val="1266"/>
              </w:trPr>
              <w:tc>
                <w:tcPr>
                  <w:tcW w:w="2941" w:type="dxa"/>
                  <w:vAlign w:val="center"/>
                </w:tcPr>
                <w:p w14:paraId="2258F35E" w14:textId="77777777" w:rsidR="00680291" w:rsidRPr="00A90B42" w:rsidRDefault="007D77D6" w:rsidP="009D497A">
                  <w:pPr>
                    <w:spacing w:before="60" w:after="60"/>
                    <w:jc w:val="left"/>
                    <w:rPr>
                      <w:rFonts w:cstheme="minorHAnsi"/>
                      <w:sz w:val="16"/>
                      <w:szCs w:val="16"/>
                      <w:lang w:eastAsia="en-SG"/>
                    </w:rPr>
                  </w:pPr>
                  <w:r w:rsidRPr="00A90B42">
                    <w:rPr>
                      <w:rFonts w:cstheme="minorHAnsi"/>
                      <w:sz w:val="16"/>
                      <w:szCs w:val="16"/>
                      <w:lang w:eastAsia="en-SG"/>
                    </w:rPr>
                    <w:t>Single-phase non-ducted room air-conditioner (split type (non-inverter)) with cooling capacity of 17.6 kW or lower</w:t>
                  </w:r>
                </w:p>
              </w:tc>
              <w:tc>
                <w:tcPr>
                  <w:tcW w:w="2941" w:type="dxa"/>
                  <w:vAlign w:val="center"/>
                </w:tcPr>
                <w:p w14:paraId="497D145F" w14:textId="77777777" w:rsidR="00680291" w:rsidRPr="00A90B42" w:rsidRDefault="007D77D6" w:rsidP="009D497A">
                  <w:pPr>
                    <w:spacing w:before="60" w:after="60"/>
                    <w:jc w:val="center"/>
                    <w:rPr>
                      <w:rFonts w:cstheme="minorHAnsi"/>
                      <w:sz w:val="16"/>
                      <w:szCs w:val="16"/>
                      <w:lang w:eastAsia="en-SG"/>
                    </w:rPr>
                  </w:pPr>
                  <w:r w:rsidRPr="00A90B42">
                    <w:rPr>
                      <w:rFonts w:cstheme="minorHAnsi"/>
                      <w:sz w:val="16"/>
                      <w:szCs w:val="16"/>
                      <w:lang w:eastAsia="en-SG"/>
                    </w:rPr>
                    <w:t>750</w:t>
                  </w:r>
                </w:p>
              </w:tc>
            </w:tr>
            <w:tr w:rsidR="00664206" w14:paraId="208951ED" w14:textId="77777777" w:rsidTr="009D497A">
              <w:trPr>
                <w:trHeight w:val="831"/>
              </w:trPr>
              <w:tc>
                <w:tcPr>
                  <w:tcW w:w="2941" w:type="dxa"/>
                  <w:vAlign w:val="center"/>
                </w:tcPr>
                <w:p w14:paraId="6F6D6908" w14:textId="77777777" w:rsidR="00680291" w:rsidRPr="00A90B42" w:rsidRDefault="007D77D6" w:rsidP="009D497A">
                  <w:pPr>
                    <w:spacing w:before="60" w:after="60"/>
                    <w:jc w:val="left"/>
                    <w:rPr>
                      <w:rFonts w:cstheme="minorHAnsi"/>
                      <w:sz w:val="16"/>
                      <w:szCs w:val="16"/>
                      <w:lang w:eastAsia="en-SG"/>
                    </w:rPr>
                  </w:pPr>
                  <w:r w:rsidRPr="00A90B42">
                    <w:rPr>
                      <w:rFonts w:cstheme="minorHAnsi"/>
                      <w:sz w:val="16"/>
                      <w:szCs w:val="16"/>
                      <w:lang w:eastAsia="en-SG"/>
                    </w:rPr>
                    <w:t>Single-phase refrigerator with an adjusted volume of up to 900 litres</w:t>
                  </w:r>
                </w:p>
              </w:tc>
              <w:tc>
                <w:tcPr>
                  <w:tcW w:w="2941" w:type="dxa"/>
                  <w:vAlign w:val="center"/>
                </w:tcPr>
                <w:p w14:paraId="536338DD" w14:textId="77777777" w:rsidR="00680291" w:rsidRPr="00A90B42" w:rsidRDefault="007D77D6" w:rsidP="009D497A">
                  <w:pPr>
                    <w:spacing w:before="60" w:after="60"/>
                    <w:jc w:val="center"/>
                    <w:rPr>
                      <w:rFonts w:cstheme="minorHAnsi"/>
                      <w:sz w:val="16"/>
                      <w:szCs w:val="16"/>
                      <w:lang w:eastAsia="en-SG"/>
                    </w:rPr>
                  </w:pPr>
                  <w:r w:rsidRPr="00A90B42">
                    <w:rPr>
                      <w:rFonts w:cstheme="minorHAnsi"/>
                      <w:sz w:val="16"/>
                      <w:szCs w:val="16"/>
                      <w:lang w:eastAsia="en-SG"/>
                    </w:rPr>
                    <w:t>15</w:t>
                  </w:r>
                </w:p>
              </w:tc>
            </w:tr>
          </w:tbl>
          <w:p w14:paraId="4F18AA31" w14:textId="77777777" w:rsidR="00680291" w:rsidRPr="00FC72C6" w:rsidRDefault="00680291" w:rsidP="009D497A">
            <w:pPr>
              <w:spacing w:before="60" w:after="60"/>
              <w:rPr>
                <w:rFonts w:cstheme="minorHAnsi"/>
                <w:lang w:eastAsia="en-SG"/>
              </w:rPr>
            </w:pPr>
          </w:p>
        </w:tc>
      </w:tr>
      <w:tr w:rsidR="00664206" w14:paraId="170F0E4D" w14:textId="77777777" w:rsidTr="009D497A">
        <w:trPr>
          <w:trHeight w:val="121"/>
          <w:jc w:val="center"/>
        </w:trPr>
        <w:tc>
          <w:tcPr>
            <w:tcW w:w="621" w:type="dxa"/>
            <w:tcBorders>
              <w:top w:val="single" w:sz="4" w:space="0" w:color="auto"/>
              <w:left w:val="single" w:sz="4" w:space="0" w:color="auto"/>
              <w:bottom w:val="single" w:sz="4" w:space="0" w:color="auto"/>
              <w:right w:val="single" w:sz="4" w:space="0" w:color="auto"/>
            </w:tcBorders>
          </w:tcPr>
          <w:p w14:paraId="18FC5118" w14:textId="77777777" w:rsidR="00680291" w:rsidRPr="00DB4AAA" w:rsidRDefault="007D77D6" w:rsidP="009D497A">
            <w:pPr>
              <w:spacing w:before="60" w:after="60"/>
              <w:rPr>
                <w:rFonts w:cs="Calibri"/>
                <w:lang w:eastAsia="en-SG" w:bidi="ta-IN"/>
              </w:rPr>
            </w:pPr>
            <w:r w:rsidRPr="00DB4AAA">
              <w:rPr>
                <w:rFonts w:cs="Calibri"/>
                <w:lang w:eastAsia="en-SG" w:bidi="ta-IN"/>
              </w:rPr>
              <w:t>4</w:t>
            </w:r>
          </w:p>
        </w:tc>
        <w:tc>
          <w:tcPr>
            <w:tcW w:w="1525" w:type="dxa"/>
            <w:tcBorders>
              <w:top w:val="single" w:sz="4" w:space="0" w:color="auto"/>
              <w:left w:val="single" w:sz="4" w:space="0" w:color="auto"/>
              <w:bottom w:val="single" w:sz="4" w:space="0" w:color="auto"/>
              <w:right w:val="single" w:sz="4" w:space="0" w:color="auto"/>
            </w:tcBorders>
          </w:tcPr>
          <w:p w14:paraId="22BFC9AF" w14:textId="77777777" w:rsidR="00680291" w:rsidRPr="00DB4AAA" w:rsidRDefault="007D77D6" w:rsidP="009D497A">
            <w:pPr>
              <w:spacing w:before="60" w:after="60"/>
              <w:jc w:val="left"/>
              <w:rPr>
                <w:rFonts w:cstheme="minorHAnsi"/>
                <w:lang w:eastAsia="en-SG" w:bidi="ta-IN"/>
              </w:rPr>
            </w:pPr>
            <w:r w:rsidRPr="00633719">
              <w:rPr>
                <w:rFonts w:cstheme="minorHAnsi"/>
                <w:lang w:bidi="ta-IN"/>
              </w:rPr>
              <w:t>E</w:t>
            </w:r>
            <w:r>
              <w:rPr>
                <w:rFonts w:cstheme="minorHAnsi"/>
                <w:lang w:bidi="ta-IN"/>
              </w:rPr>
              <w:t xml:space="preserve">nvironmental </w:t>
            </w:r>
            <w:r w:rsidRPr="00633719">
              <w:rPr>
                <w:rFonts w:cstheme="minorHAnsi"/>
                <w:lang w:bidi="ta-IN"/>
              </w:rPr>
              <w:t>P</w:t>
            </w:r>
            <w:r>
              <w:rPr>
                <w:rFonts w:cstheme="minorHAnsi"/>
                <w:lang w:bidi="ta-IN"/>
              </w:rPr>
              <w:t xml:space="preserve">rotection and </w:t>
            </w:r>
            <w:r w:rsidRPr="00633719">
              <w:rPr>
                <w:rFonts w:cstheme="minorHAnsi"/>
                <w:lang w:bidi="ta-IN"/>
              </w:rPr>
              <w:t>M</w:t>
            </w:r>
            <w:r>
              <w:rPr>
                <w:rFonts w:cstheme="minorHAnsi"/>
                <w:lang w:bidi="ta-IN"/>
              </w:rPr>
              <w:t>anagement</w:t>
            </w:r>
            <w:r w:rsidRPr="00633719">
              <w:rPr>
                <w:rFonts w:cstheme="minorHAnsi"/>
                <w:lang w:bidi="ta-IN"/>
              </w:rPr>
              <w:t xml:space="preserve"> (Regulated Goods — Exemption) Order 2022</w:t>
            </w:r>
          </w:p>
        </w:tc>
        <w:tc>
          <w:tcPr>
            <w:tcW w:w="6496" w:type="dxa"/>
            <w:tcBorders>
              <w:top w:val="single" w:sz="4" w:space="0" w:color="auto"/>
              <w:left w:val="single" w:sz="4" w:space="0" w:color="auto"/>
              <w:bottom w:val="single" w:sz="4" w:space="0" w:color="auto"/>
              <w:right w:val="single" w:sz="4" w:space="0" w:color="auto"/>
            </w:tcBorders>
          </w:tcPr>
          <w:p w14:paraId="32A8F6C1" w14:textId="77777777" w:rsidR="00680291" w:rsidRPr="00633719" w:rsidRDefault="007D77D6" w:rsidP="00680291">
            <w:pPr>
              <w:pStyle w:val="Paragraphedeliste"/>
              <w:numPr>
                <w:ilvl w:val="0"/>
                <w:numId w:val="17"/>
              </w:numPr>
              <w:spacing w:before="60" w:after="60"/>
              <w:rPr>
                <w:rFonts w:cstheme="minorHAnsi"/>
                <w:lang w:eastAsia="en-SG"/>
              </w:rPr>
            </w:pPr>
            <w:r>
              <w:rPr>
                <w:rFonts w:cstheme="minorHAnsi"/>
                <w:lang w:eastAsia="en-SG"/>
              </w:rPr>
              <w:t>E</w:t>
            </w:r>
            <w:r w:rsidRPr="00633719">
              <w:rPr>
                <w:rFonts w:cstheme="minorHAnsi"/>
                <w:lang w:eastAsia="en-SG"/>
              </w:rPr>
              <w:t>xempt</w:t>
            </w:r>
            <w:r>
              <w:rPr>
                <w:rFonts w:cstheme="minorHAnsi"/>
                <w:lang w:eastAsia="en-SG"/>
              </w:rPr>
              <w:t>s</w:t>
            </w:r>
            <w:r w:rsidRPr="00633719">
              <w:rPr>
                <w:rFonts w:cstheme="minorHAnsi"/>
                <w:lang w:eastAsia="en-SG"/>
              </w:rPr>
              <w:t xml:space="preserve"> Hydrochlorofluorocarbon (HCFC) refrigerants and other substances that are covered under the Montreal Protocol.</w:t>
            </w:r>
          </w:p>
        </w:tc>
      </w:tr>
    </w:tbl>
    <w:p w14:paraId="37A45EB0" w14:textId="77777777" w:rsidR="006C5A96" w:rsidRDefault="007D77D6" w:rsidP="006C5A96">
      <w:pPr>
        <w:jc w:val="center"/>
        <w:rPr>
          <w:b/>
        </w:rPr>
      </w:pPr>
      <w:r w:rsidRPr="003971FF">
        <w:rPr>
          <w:b/>
        </w:rPr>
        <w:t>__________</w:t>
      </w:r>
    </w:p>
    <w:p w14:paraId="37D1610D" w14:textId="77777777" w:rsidR="004D4D19" w:rsidRDefault="004D4D19" w:rsidP="007F38C2">
      <w:pPr>
        <w:jc w:val="center"/>
        <w:rPr>
          <w:b/>
        </w:rPr>
      </w:pPr>
    </w:p>
    <w:p w14:paraId="768504C3" w14:textId="77777777" w:rsidR="00A1565D" w:rsidRDefault="00A1565D" w:rsidP="003971FF">
      <w:pPr>
        <w:jc w:val="center"/>
        <w:rPr>
          <w:b/>
        </w:rPr>
      </w:pPr>
    </w:p>
    <w:sectPr w:rsidR="00A1565D" w:rsidSect="006C5A96">
      <w:headerReference w:type="even" r:id="rId13"/>
      <w:headerReference w:type="default" r:id="rId14"/>
      <w:footerReference w:type="even" r:id="rId15"/>
      <w:footerReference w:type="default" r:id="rId16"/>
      <w:head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3574" w14:textId="77777777" w:rsidR="008C1BAA" w:rsidRDefault="007D77D6">
      <w:r>
        <w:separator/>
      </w:r>
    </w:p>
  </w:endnote>
  <w:endnote w:type="continuationSeparator" w:id="0">
    <w:p w14:paraId="4C47515C" w14:textId="77777777" w:rsidR="008C1BAA" w:rsidRDefault="007D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E02" w14:textId="77777777" w:rsidR="00544326" w:rsidRPr="00DD3DD7" w:rsidRDefault="007D77D6"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067F" w14:textId="77777777" w:rsidR="00544326" w:rsidRPr="00DD3DD7" w:rsidRDefault="007D77D6"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B342" w14:textId="77777777" w:rsidR="000248E6" w:rsidRDefault="007D77D6" w:rsidP="00ED54E0">
      <w:r>
        <w:separator/>
      </w:r>
    </w:p>
  </w:footnote>
  <w:footnote w:type="continuationSeparator" w:id="0">
    <w:p w14:paraId="64E09E2D" w14:textId="77777777" w:rsidR="000248E6" w:rsidRDefault="007D77D6" w:rsidP="00ED54E0">
      <w:r>
        <w:continuationSeparator/>
      </w:r>
    </w:p>
  </w:footnote>
  <w:footnote w:id="1">
    <w:p w14:paraId="679E6A8E" w14:textId="77777777" w:rsidR="007F6EA2" w:rsidRDefault="007D77D6">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4138" w14:textId="77777777" w:rsidR="00DD3DD7" w:rsidRDefault="007D77D6" w:rsidP="00DD3DD7">
    <w:pPr>
      <w:pStyle w:val="En-tte"/>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38D4F269" w14:textId="77777777" w:rsidR="004D4D19" w:rsidRPr="00DD3DD7" w:rsidRDefault="004D4D19" w:rsidP="00DD3DD7">
    <w:pPr>
      <w:pStyle w:val="En-tte"/>
      <w:pBdr>
        <w:bottom w:val="single" w:sz="4" w:space="1" w:color="auto"/>
      </w:pBdr>
      <w:tabs>
        <w:tab w:val="clear" w:pos="4513"/>
        <w:tab w:val="clear" w:pos="9027"/>
      </w:tabs>
      <w:jc w:val="center"/>
    </w:pPr>
  </w:p>
  <w:p w14:paraId="5C6483A7" w14:textId="77777777" w:rsidR="00DD3DD7" w:rsidRPr="00DD3DD7" w:rsidRDefault="007D77D6"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71B91E2"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F576" w14:textId="77777777" w:rsidR="00DD3DD7" w:rsidRPr="00DD3DD7" w:rsidRDefault="007D77D6" w:rsidP="00DD3DD7">
    <w:pPr>
      <w:pStyle w:val="En-tte"/>
      <w:pBdr>
        <w:bottom w:val="single" w:sz="4" w:space="1" w:color="auto"/>
      </w:pBdr>
      <w:tabs>
        <w:tab w:val="clear" w:pos="4513"/>
        <w:tab w:val="clear" w:pos="9027"/>
      </w:tabs>
      <w:jc w:val="center"/>
    </w:pPr>
    <w:bookmarkStart w:id="29" w:name="spsSymbolHeader"/>
    <w:r w:rsidRPr="00DD3DD7">
      <w:t>G/TBT/N/SGP/56/Add.2</w:t>
    </w:r>
    <w:bookmarkEnd w:id="29"/>
  </w:p>
  <w:p w14:paraId="60286883" w14:textId="77777777" w:rsidR="00DD3DD7" w:rsidRPr="00DD3DD7" w:rsidRDefault="00DD3DD7" w:rsidP="00DD3DD7">
    <w:pPr>
      <w:pStyle w:val="En-tte"/>
      <w:pBdr>
        <w:bottom w:val="single" w:sz="4" w:space="1" w:color="auto"/>
      </w:pBdr>
      <w:tabs>
        <w:tab w:val="clear" w:pos="4513"/>
        <w:tab w:val="clear" w:pos="9027"/>
      </w:tabs>
      <w:jc w:val="center"/>
    </w:pPr>
  </w:p>
  <w:p w14:paraId="093E4FB9" w14:textId="77777777" w:rsidR="00DD3DD7" w:rsidRPr="00DD3DD7" w:rsidRDefault="007D77D6"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6850F6D"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4206" w14:paraId="147FCE95" w14:textId="77777777" w:rsidTr="00544326">
      <w:trPr>
        <w:trHeight w:val="240"/>
        <w:jc w:val="center"/>
      </w:trPr>
      <w:tc>
        <w:tcPr>
          <w:tcW w:w="3794" w:type="dxa"/>
          <w:shd w:val="clear" w:color="auto" w:fill="FFFFFF"/>
          <w:tcMar>
            <w:left w:w="108" w:type="dxa"/>
            <w:right w:w="108" w:type="dxa"/>
          </w:tcMar>
          <w:vAlign w:val="center"/>
        </w:tcPr>
        <w:p w14:paraId="3FA01AE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C34E69B" w14:textId="77777777" w:rsidR="00ED54E0" w:rsidRPr="00182B84" w:rsidRDefault="007D77D6" w:rsidP="00425DC5">
          <w:pPr>
            <w:jc w:val="right"/>
            <w:rPr>
              <w:b/>
              <w:color w:val="FF0000"/>
              <w:szCs w:val="16"/>
            </w:rPr>
          </w:pPr>
          <w:r>
            <w:rPr>
              <w:b/>
              <w:color w:val="FF0000"/>
              <w:szCs w:val="16"/>
            </w:rPr>
            <w:t xml:space="preserve"> </w:t>
          </w:r>
        </w:p>
      </w:tc>
    </w:tr>
    <w:tr w:rsidR="00664206" w14:paraId="0470DE96" w14:textId="77777777" w:rsidTr="00544326">
      <w:trPr>
        <w:trHeight w:val="213"/>
        <w:jc w:val="center"/>
      </w:trPr>
      <w:tc>
        <w:tcPr>
          <w:tcW w:w="3794" w:type="dxa"/>
          <w:vMerge w:val="restart"/>
          <w:shd w:val="clear" w:color="auto" w:fill="FFFFFF"/>
          <w:tcMar>
            <w:left w:w="0" w:type="dxa"/>
            <w:right w:w="0" w:type="dxa"/>
          </w:tcMar>
        </w:tcPr>
        <w:p w14:paraId="0624F0CA" w14:textId="77777777" w:rsidR="00ED54E0" w:rsidRPr="00182B84" w:rsidRDefault="007D77D6" w:rsidP="00425DC5">
          <w:pPr>
            <w:jc w:val="left"/>
          </w:pPr>
          <w:r w:rsidRPr="00182B84">
            <w:rPr>
              <w:noProof/>
              <w:lang w:val="en-US"/>
            </w:rPr>
            <w:drawing>
              <wp:inline distT="0" distB="0" distL="0" distR="0" wp14:anchorId="6EC61C29" wp14:editId="413349A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824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3633DF" w14:textId="77777777" w:rsidR="00ED54E0" w:rsidRPr="00182B84" w:rsidRDefault="00ED54E0" w:rsidP="00425DC5">
          <w:pPr>
            <w:jc w:val="right"/>
            <w:rPr>
              <w:b/>
              <w:szCs w:val="16"/>
            </w:rPr>
          </w:pPr>
        </w:p>
      </w:tc>
    </w:tr>
    <w:tr w:rsidR="00664206" w14:paraId="73C4A3CB" w14:textId="77777777" w:rsidTr="00544326">
      <w:trPr>
        <w:trHeight w:val="868"/>
        <w:jc w:val="center"/>
      </w:trPr>
      <w:tc>
        <w:tcPr>
          <w:tcW w:w="3794" w:type="dxa"/>
          <w:vMerge/>
          <w:shd w:val="clear" w:color="auto" w:fill="FFFFFF"/>
          <w:tcMar>
            <w:left w:w="108" w:type="dxa"/>
            <w:right w:w="108" w:type="dxa"/>
          </w:tcMar>
        </w:tcPr>
        <w:p w14:paraId="7917DB8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34DF5B5" w14:textId="77777777" w:rsidR="00DD3DD7" w:rsidRPr="002F663C" w:rsidRDefault="007D77D6" w:rsidP="00DD3DD7">
          <w:pPr>
            <w:jc w:val="right"/>
            <w:rPr>
              <w:rFonts w:eastAsia="Calibri" w:cs="Times New Roman"/>
              <w:b/>
              <w:szCs w:val="16"/>
            </w:rPr>
          </w:pPr>
          <w:bookmarkStart w:id="30" w:name="bmkSymbols"/>
          <w:r w:rsidRPr="002F663C">
            <w:rPr>
              <w:rFonts w:eastAsia="Calibri" w:cs="Times New Roman"/>
              <w:b/>
              <w:szCs w:val="16"/>
            </w:rPr>
            <w:t>G/TBT/N/SGP/56/Add.2</w:t>
          </w:r>
          <w:bookmarkEnd w:id="30"/>
        </w:p>
        <w:p w14:paraId="00D7D9A1" w14:textId="77777777" w:rsidR="00C14444" w:rsidRPr="00C14444" w:rsidRDefault="00C14444" w:rsidP="00C14444">
          <w:pPr>
            <w:jc w:val="center"/>
            <w:rPr>
              <w:szCs w:val="16"/>
            </w:rPr>
          </w:pPr>
        </w:p>
      </w:tc>
    </w:tr>
    <w:tr w:rsidR="00664206" w14:paraId="32C66E64" w14:textId="77777777" w:rsidTr="00544326">
      <w:trPr>
        <w:trHeight w:val="240"/>
        <w:jc w:val="center"/>
      </w:trPr>
      <w:tc>
        <w:tcPr>
          <w:tcW w:w="3794" w:type="dxa"/>
          <w:vMerge/>
          <w:shd w:val="clear" w:color="auto" w:fill="FFFFFF"/>
          <w:tcMar>
            <w:left w:w="108" w:type="dxa"/>
            <w:right w:w="108" w:type="dxa"/>
          </w:tcMar>
          <w:vAlign w:val="center"/>
        </w:tcPr>
        <w:p w14:paraId="59CC8653" w14:textId="77777777" w:rsidR="00ED54E0" w:rsidRPr="00182B84" w:rsidRDefault="00ED54E0" w:rsidP="00425DC5"/>
      </w:tc>
      <w:tc>
        <w:tcPr>
          <w:tcW w:w="5448" w:type="dxa"/>
          <w:gridSpan w:val="2"/>
          <w:shd w:val="clear" w:color="auto" w:fill="FFFFFF"/>
          <w:tcMar>
            <w:left w:w="108" w:type="dxa"/>
            <w:right w:w="108" w:type="dxa"/>
          </w:tcMar>
          <w:vAlign w:val="center"/>
        </w:tcPr>
        <w:p w14:paraId="164A12F8" w14:textId="6B69CF5D" w:rsidR="00ED54E0" w:rsidRPr="00182B84" w:rsidRDefault="007D77D6" w:rsidP="00425DC5">
          <w:pPr>
            <w:jc w:val="right"/>
            <w:rPr>
              <w:szCs w:val="16"/>
            </w:rPr>
          </w:pPr>
          <w:bookmarkStart w:id="31" w:name="bmkDate"/>
          <w:bookmarkEnd w:id="31"/>
          <w:r>
            <w:rPr>
              <w:szCs w:val="16"/>
            </w:rPr>
            <w:t>8 April 2022</w:t>
          </w:r>
        </w:p>
      </w:tc>
    </w:tr>
    <w:tr w:rsidR="00664206" w14:paraId="366DD3E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85B1F2" w14:textId="3FB5E541" w:rsidR="00ED54E0" w:rsidRPr="00182B84" w:rsidRDefault="007D77D6"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5342A0">
            <w:rPr>
              <w:rFonts w:eastAsia="Calibri" w:cs="Times New Roman"/>
              <w:color w:val="FF0000"/>
              <w:szCs w:val="16"/>
            </w:rPr>
            <w:t>2880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1084C90" w14:textId="77777777" w:rsidR="00ED54E0" w:rsidRPr="00182B84" w:rsidRDefault="007D77D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64206" w14:paraId="585B896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6734F9" w14:textId="77777777" w:rsidR="00ED54E0" w:rsidRPr="00182B84" w:rsidRDefault="007D77D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867FCD6" w14:textId="77777777" w:rsidR="00ED54E0" w:rsidRPr="00182B84" w:rsidRDefault="007D77D6"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4AB38205"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6061ED"/>
    <w:multiLevelType w:val="hybridMultilevel"/>
    <w:tmpl w:val="F54CE678"/>
    <w:lvl w:ilvl="0" w:tplc="1C7E61B8">
      <w:start w:val="1"/>
      <w:numFmt w:val="lowerLetter"/>
      <w:lvlText w:val="(%1)"/>
      <w:lvlJc w:val="left"/>
      <w:pPr>
        <w:ind w:left="360" w:hanging="360"/>
      </w:pPr>
      <w:rPr>
        <w:rFonts w:hint="default"/>
      </w:rPr>
    </w:lvl>
    <w:lvl w:ilvl="1" w:tplc="356CD5B8" w:tentative="1">
      <w:start w:val="1"/>
      <w:numFmt w:val="lowerLetter"/>
      <w:lvlText w:val="%2."/>
      <w:lvlJc w:val="left"/>
      <w:pPr>
        <w:ind w:left="1080" w:hanging="360"/>
      </w:pPr>
    </w:lvl>
    <w:lvl w:ilvl="2" w:tplc="83F6D4C2" w:tentative="1">
      <w:start w:val="1"/>
      <w:numFmt w:val="lowerRoman"/>
      <w:lvlText w:val="%3."/>
      <w:lvlJc w:val="right"/>
      <w:pPr>
        <w:ind w:left="1800" w:hanging="180"/>
      </w:pPr>
    </w:lvl>
    <w:lvl w:ilvl="3" w:tplc="98D0D9BC" w:tentative="1">
      <w:start w:val="1"/>
      <w:numFmt w:val="decimal"/>
      <w:lvlText w:val="%4."/>
      <w:lvlJc w:val="left"/>
      <w:pPr>
        <w:ind w:left="2520" w:hanging="360"/>
      </w:pPr>
    </w:lvl>
    <w:lvl w:ilvl="4" w:tplc="99EA2986" w:tentative="1">
      <w:start w:val="1"/>
      <w:numFmt w:val="lowerLetter"/>
      <w:lvlText w:val="%5."/>
      <w:lvlJc w:val="left"/>
      <w:pPr>
        <w:ind w:left="3240" w:hanging="360"/>
      </w:pPr>
    </w:lvl>
    <w:lvl w:ilvl="5" w:tplc="3ED25212" w:tentative="1">
      <w:start w:val="1"/>
      <w:numFmt w:val="lowerRoman"/>
      <w:lvlText w:val="%6."/>
      <w:lvlJc w:val="right"/>
      <w:pPr>
        <w:ind w:left="3960" w:hanging="180"/>
      </w:pPr>
    </w:lvl>
    <w:lvl w:ilvl="6" w:tplc="01988304" w:tentative="1">
      <w:start w:val="1"/>
      <w:numFmt w:val="decimal"/>
      <w:lvlText w:val="%7."/>
      <w:lvlJc w:val="left"/>
      <w:pPr>
        <w:ind w:left="4680" w:hanging="360"/>
      </w:pPr>
    </w:lvl>
    <w:lvl w:ilvl="7" w:tplc="BFD27C6A" w:tentative="1">
      <w:start w:val="1"/>
      <w:numFmt w:val="lowerLetter"/>
      <w:lvlText w:val="%8."/>
      <w:lvlJc w:val="left"/>
      <w:pPr>
        <w:ind w:left="5400" w:hanging="360"/>
      </w:pPr>
    </w:lvl>
    <w:lvl w:ilvl="8" w:tplc="7D06EC00" w:tentative="1">
      <w:start w:val="1"/>
      <w:numFmt w:val="lowerRoman"/>
      <w:lvlText w:val="%9."/>
      <w:lvlJc w:val="right"/>
      <w:pPr>
        <w:ind w:left="6120" w:hanging="180"/>
      </w:pPr>
    </w:lvl>
  </w:abstractNum>
  <w:abstractNum w:abstractNumId="11"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075A666C"/>
    <w:numStyleLink w:val="LegalHeadings"/>
  </w:abstractNum>
  <w:abstractNum w:abstractNumId="13"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4" w15:restartNumberingAfterBreak="0">
    <w:nsid w:val="5795369E"/>
    <w:multiLevelType w:val="hybridMultilevel"/>
    <w:tmpl w:val="859C172A"/>
    <w:lvl w:ilvl="0" w:tplc="851E7816">
      <w:start w:val="1"/>
      <w:numFmt w:val="bullet"/>
      <w:lvlText w:val=""/>
      <w:lvlJc w:val="left"/>
      <w:pPr>
        <w:ind w:left="360" w:hanging="360"/>
      </w:pPr>
      <w:rPr>
        <w:rFonts w:ascii="Symbol" w:hAnsi="Symbol" w:hint="default"/>
      </w:rPr>
    </w:lvl>
    <w:lvl w:ilvl="1" w:tplc="6D6C307C">
      <w:start w:val="1"/>
      <w:numFmt w:val="bullet"/>
      <w:lvlText w:val="o"/>
      <w:lvlJc w:val="left"/>
      <w:pPr>
        <w:ind w:left="1080" w:hanging="360"/>
      </w:pPr>
      <w:rPr>
        <w:rFonts w:ascii="Courier New" w:hAnsi="Courier New" w:cs="Times New Roman" w:hint="default"/>
      </w:rPr>
    </w:lvl>
    <w:lvl w:ilvl="2" w:tplc="761EB926">
      <w:start w:val="1"/>
      <w:numFmt w:val="bullet"/>
      <w:lvlText w:val=""/>
      <w:lvlJc w:val="left"/>
      <w:pPr>
        <w:ind w:left="1800" w:hanging="360"/>
      </w:pPr>
      <w:rPr>
        <w:rFonts w:ascii="Wingdings" w:hAnsi="Wingdings" w:hint="default"/>
      </w:rPr>
    </w:lvl>
    <w:lvl w:ilvl="3" w:tplc="8B8626F0">
      <w:start w:val="1"/>
      <w:numFmt w:val="bullet"/>
      <w:lvlText w:val=""/>
      <w:lvlJc w:val="left"/>
      <w:pPr>
        <w:ind w:left="2520" w:hanging="360"/>
      </w:pPr>
      <w:rPr>
        <w:rFonts w:ascii="Symbol" w:hAnsi="Symbol" w:hint="default"/>
      </w:rPr>
    </w:lvl>
    <w:lvl w:ilvl="4" w:tplc="19F09152">
      <w:start w:val="1"/>
      <w:numFmt w:val="bullet"/>
      <w:lvlText w:val="o"/>
      <w:lvlJc w:val="left"/>
      <w:pPr>
        <w:ind w:left="3240" w:hanging="360"/>
      </w:pPr>
      <w:rPr>
        <w:rFonts w:ascii="Courier New" w:hAnsi="Courier New" w:cs="Times New Roman" w:hint="default"/>
      </w:rPr>
    </w:lvl>
    <w:lvl w:ilvl="5" w:tplc="66D69094">
      <w:start w:val="1"/>
      <w:numFmt w:val="bullet"/>
      <w:lvlText w:val=""/>
      <w:lvlJc w:val="left"/>
      <w:pPr>
        <w:ind w:left="3960" w:hanging="360"/>
      </w:pPr>
      <w:rPr>
        <w:rFonts w:ascii="Wingdings" w:hAnsi="Wingdings" w:hint="default"/>
      </w:rPr>
    </w:lvl>
    <w:lvl w:ilvl="6" w:tplc="1A3A8B38">
      <w:start w:val="1"/>
      <w:numFmt w:val="bullet"/>
      <w:lvlText w:val=""/>
      <w:lvlJc w:val="left"/>
      <w:pPr>
        <w:ind w:left="4680" w:hanging="360"/>
      </w:pPr>
      <w:rPr>
        <w:rFonts w:ascii="Symbol" w:hAnsi="Symbol" w:hint="default"/>
      </w:rPr>
    </w:lvl>
    <w:lvl w:ilvl="7" w:tplc="65E0DBA0">
      <w:start w:val="1"/>
      <w:numFmt w:val="bullet"/>
      <w:lvlText w:val="o"/>
      <w:lvlJc w:val="left"/>
      <w:pPr>
        <w:ind w:left="5400" w:hanging="360"/>
      </w:pPr>
      <w:rPr>
        <w:rFonts w:ascii="Courier New" w:hAnsi="Courier New" w:cs="Times New Roman" w:hint="default"/>
      </w:rPr>
    </w:lvl>
    <w:lvl w:ilvl="8" w:tplc="1CD6AF54">
      <w:start w:val="1"/>
      <w:numFmt w:val="bullet"/>
      <w:lvlText w:val=""/>
      <w:lvlJc w:val="left"/>
      <w:pPr>
        <w:ind w:left="6120" w:hanging="360"/>
      </w:pPr>
      <w:rPr>
        <w:rFonts w:ascii="Wingdings" w:hAnsi="Wingdings" w:hint="default"/>
      </w:rPr>
    </w:lvl>
  </w:abstractNum>
  <w:abstractNum w:abstractNumId="15" w15:restartNumberingAfterBreak="0">
    <w:nsid w:val="62ED5825"/>
    <w:multiLevelType w:val="hybridMultilevel"/>
    <w:tmpl w:val="F54CE678"/>
    <w:lvl w:ilvl="0" w:tplc="E6DE7796">
      <w:start w:val="1"/>
      <w:numFmt w:val="lowerLetter"/>
      <w:lvlText w:val="(%1)"/>
      <w:lvlJc w:val="left"/>
      <w:pPr>
        <w:ind w:left="360" w:hanging="360"/>
      </w:pPr>
      <w:rPr>
        <w:rFonts w:hint="default"/>
      </w:rPr>
    </w:lvl>
    <w:lvl w:ilvl="1" w:tplc="1B528FA0" w:tentative="1">
      <w:start w:val="1"/>
      <w:numFmt w:val="lowerLetter"/>
      <w:lvlText w:val="%2."/>
      <w:lvlJc w:val="left"/>
      <w:pPr>
        <w:ind w:left="1080" w:hanging="360"/>
      </w:pPr>
    </w:lvl>
    <w:lvl w:ilvl="2" w:tplc="9A38FCBC" w:tentative="1">
      <w:start w:val="1"/>
      <w:numFmt w:val="lowerRoman"/>
      <w:lvlText w:val="%3."/>
      <w:lvlJc w:val="right"/>
      <w:pPr>
        <w:ind w:left="1800" w:hanging="180"/>
      </w:pPr>
    </w:lvl>
    <w:lvl w:ilvl="3" w:tplc="70FA9BCE" w:tentative="1">
      <w:start w:val="1"/>
      <w:numFmt w:val="decimal"/>
      <w:lvlText w:val="%4."/>
      <w:lvlJc w:val="left"/>
      <w:pPr>
        <w:ind w:left="2520" w:hanging="360"/>
      </w:pPr>
    </w:lvl>
    <w:lvl w:ilvl="4" w:tplc="A9F6C548" w:tentative="1">
      <w:start w:val="1"/>
      <w:numFmt w:val="lowerLetter"/>
      <w:lvlText w:val="%5."/>
      <w:lvlJc w:val="left"/>
      <w:pPr>
        <w:ind w:left="3240" w:hanging="360"/>
      </w:pPr>
    </w:lvl>
    <w:lvl w:ilvl="5" w:tplc="D75C7E3E" w:tentative="1">
      <w:start w:val="1"/>
      <w:numFmt w:val="lowerRoman"/>
      <w:lvlText w:val="%6."/>
      <w:lvlJc w:val="right"/>
      <w:pPr>
        <w:ind w:left="3960" w:hanging="180"/>
      </w:pPr>
    </w:lvl>
    <w:lvl w:ilvl="6" w:tplc="8ACA0EAE" w:tentative="1">
      <w:start w:val="1"/>
      <w:numFmt w:val="decimal"/>
      <w:lvlText w:val="%7."/>
      <w:lvlJc w:val="left"/>
      <w:pPr>
        <w:ind w:left="4680" w:hanging="360"/>
      </w:pPr>
    </w:lvl>
    <w:lvl w:ilvl="7" w:tplc="730C30DA" w:tentative="1">
      <w:start w:val="1"/>
      <w:numFmt w:val="lowerLetter"/>
      <w:lvlText w:val="%8."/>
      <w:lvlJc w:val="left"/>
      <w:pPr>
        <w:ind w:left="5400" w:hanging="360"/>
      </w:pPr>
    </w:lvl>
    <w:lvl w:ilvl="8" w:tplc="84E861D2" w:tentative="1">
      <w:start w:val="1"/>
      <w:numFmt w:val="lowerRoman"/>
      <w:lvlText w:val="%9."/>
      <w:lvlJc w:val="right"/>
      <w:pPr>
        <w:ind w:left="6120" w:hanging="180"/>
      </w:pPr>
    </w:lvl>
  </w:abstractNum>
  <w:abstractNum w:abstractNumId="16" w15:restartNumberingAfterBreak="0">
    <w:nsid w:val="63D526BA"/>
    <w:multiLevelType w:val="hybridMultilevel"/>
    <w:tmpl w:val="5CB60482"/>
    <w:lvl w:ilvl="0" w:tplc="C544781C">
      <w:start w:val="1"/>
      <w:numFmt w:val="decimal"/>
      <w:pStyle w:val="SummaryText"/>
      <w:lvlText w:val="%1."/>
      <w:lvlJc w:val="left"/>
      <w:pPr>
        <w:ind w:left="360" w:hanging="360"/>
      </w:pPr>
    </w:lvl>
    <w:lvl w:ilvl="1" w:tplc="4C666832" w:tentative="1">
      <w:start w:val="1"/>
      <w:numFmt w:val="lowerLetter"/>
      <w:lvlText w:val="%2."/>
      <w:lvlJc w:val="left"/>
      <w:pPr>
        <w:ind w:left="1080" w:hanging="360"/>
      </w:pPr>
    </w:lvl>
    <w:lvl w:ilvl="2" w:tplc="CB6224AE" w:tentative="1">
      <w:start w:val="1"/>
      <w:numFmt w:val="lowerRoman"/>
      <w:lvlText w:val="%3."/>
      <w:lvlJc w:val="right"/>
      <w:pPr>
        <w:ind w:left="1800" w:hanging="180"/>
      </w:pPr>
    </w:lvl>
    <w:lvl w:ilvl="3" w:tplc="89C243F2" w:tentative="1">
      <w:start w:val="1"/>
      <w:numFmt w:val="decimal"/>
      <w:lvlText w:val="%4."/>
      <w:lvlJc w:val="left"/>
      <w:pPr>
        <w:ind w:left="2520" w:hanging="360"/>
      </w:pPr>
    </w:lvl>
    <w:lvl w:ilvl="4" w:tplc="1A16FF08" w:tentative="1">
      <w:start w:val="1"/>
      <w:numFmt w:val="lowerLetter"/>
      <w:lvlText w:val="%5."/>
      <w:lvlJc w:val="left"/>
      <w:pPr>
        <w:ind w:left="3240" w:hanging="360"/>
      </w:pPr>
    </w:lvl>
    <w:lvl w:ilvl="5" w:tplc="893EBAC6" w:tentative="1">
      <w:start w:val="1"/>
      <w:numFmt w:val="lowerRoman"/>
      <w:lvlText w:val="%6."/>
      <w:lvlJc w:val="right"/>
      <w:pPr>
        <w:ind w:left="3960" w:hanging="180"/>
      </w:pPr>
    </w:lvl>
    <w:lvl w:ilvl="6" w:tplc="E8DA9764" w:tentative="1">
      <w:start w:val="1"/>
      <w:numFmt w:val="decimal"/>
      <w:lvlText w:val="%7."/>
      <w:lvlJc w:val="left"/>
      <w:pPr>
        <w:ind w:left="4680" w:hanging="360"/>
      </w:pPr>
    </w:lvl>
    <w:lvl w:ilvl="7" w:tplc="43604A02" w:tentative="1">
      <w:start w:val="1"/>
      <w:numFmt w:val="lowerLetter"/>
      <w:lvlText w:val="%8."/>
      <w:lvlJc w:val="left"/>
      <w:pPr>
        <w:ind w:left="5400" w:hanging="360"/>
      </w:pPr>
    </w:lvl>
    <w:lvl w:ilvl="8" w:tplc="921480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2"/>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C644F"/>
    <w:rsid w:val="000F3D39"/>
    <w:rsid w:val="001057CB"/>
    <w:rsid w:val="001120DB"/>
    <w:rsid w:val="0011356B"/>
    <w:rsid w:val="00124403"/>
    <w:rsid w:val="0013337F"/>
    <w:rsid w:val="0013637D"/>
    <w:rsid w:val="001642F0"/>
    <w:rsid w:val="00175DD6"/>
    <w:rsid w:val="00182B84"/>
    <w:rsid w:val="001A1F82"/>
    <w:rsid w:val="001C2A9D"/>
    <w:rsid w:val="001E291F"/>
    <w:rsid w:val="001E2E4A"/>
    <w:rsid w:val="00223DA8"/>
    <w:rsid w:val="00233408"/>
    <w:rsid w:val="002436E6"/>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A5904"/>
    <w:rsid w:val="004C5A53"/>
    <w:rsid w:val="004D4D19"/>
    <w:rsid w:val="004F203A"/>
    <w:rsid w:val="005336B8"/>
    <w:rsid w:val="005342A0"/>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33719"/>
    <w:rsid w:val="0064657D"/>
    <w:rsid w:val="006523CB"/>
    <w:rsid w:val="00657B4C"/>
    <w:rsid w:val="00664206"/>
    <w:rsid w:val="00674CCD"/>
    <w:rsid w:val="00680291"/>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D77D6"/>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1BAA"/>
    <w:rsid w:val="008C42D2"/>
    <w:rsid w:val="008E2C13"/>
    <w:rsid w:val="008E372C"/>
    <w:rsid w:val="00917235"/>
    <w:rsid w:val="00953219"/>
    <w:rsid w:val="00992AEA"/>
    <w:rsid w:val="009A4D36"/>
    <w:rsid w:val="009A6F54"/>
    <w:rsid w:val="009D497A"/>
    <w:rsid w:val="009F7637"/>
    <w:rsid w:val="00A001F6"/>
    <w:rsid w:val="00A1565D"/>
    <w:rsid w:val="00A20371"/>
    <w:rsid w:val="00A372AC"/>
    <w:rsid w:val="00A43C3A"/>
    <w:rsid w:val="00A6057A"/>
    <w:rsid w:val="00A72245"/>
    <w:rsid w:val="00A74017"/>
    <w:rsid w:val="00A90B42"/>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31A15"/>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B4AAA"/>
    <w:rsid w:val="00DC1434"/>
    <w:rsid w:val="00DD3DD7"/>
    <w:rsid w:val="00DD4208"/>
    <w:rsid w:val="00DE1F32"/>
    <w:rsid w:val="00DE3F74"/>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C72C6"/>
    <w:rsid w:val="00FD224A"/>
    <w:rsid w:val="00FD28F0"/>
    <w:rsid w:val="00FE4603"/>
    <w:rsid w:val="00FE4EDD"/>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aliases w:val="Bulletr List Paragraph,Cell bullets,Credits,List Paragraph1,List Paragraph2,List Paragraph21,Listeafsnit1,MICA-Lis,Noise heading,Paragraphe de liste1,Parágrafo da Lista1,Párrafo de lista1,RUS List,Rec para,Text,numbered,リスト段落1,列出段落"/>
    <w:basedOn w:val="Normal"/>
    <w:link w:val="ParagraphedelisteCar"/>
    <w:uiPriority w:val="34"/>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3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 w:type="character" w:customStyle="1" w:styleId="UnresolvedMention2">
    <w:name w:val="Unresolved Mention2"/>
    <w:basedOn w:val="Policepardfaut"/>
    <w:uiPriority w:val="99"/>
    <w:rsid w:val="004A5904"/>
    <w:rPr>
      <w:color w:val="605E5C"/>
      <w:shd w:val="clear" w:color="auto" w:fill="E1DFDD"/>
    </w:rPr>
  </w:style>
  <w:style w:type="character" w:customStyle="1" w:styleId="ParagraphedelisteCar">
    <w:name w:val="Paragraphe de liste Car"/>
    <w:aliases w:val="Bulletr List Paragraph Car,Cell bullets Car,Credits Car,List Paragraph1 Car,List Paragraph2 Car,List Paragraph21 Car,Listeafsnit1 Car,MICA-Lis Car,Noise heading Car,Paragraphe de liste1 Car,Parágrafo da Lista1 Car,RUS List Car"/>
    <w:basedOn w:val="Policepardfaut"/>
    <w:link w:val="Paragraphedeliste"/>
    <w:uiPriority w:val="34"/>
    <w:locked/>
    <w:rsid w:val="00680291"/>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SGP/final_measure/22_2685_00_e.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a.gov.sg/docs/default-source/default-document-library/circular-on-epm(amendment)-bill-to-mitigate-emissions-of-refrigerants-with-high-gwp-used-in-rac-equipment.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2/TBT/SGP/final_measure/22_2685_03_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2/TBT/SGP/final_measure/22_2685_02_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2/TBT/SGP/final_measure/22_2685_01_e.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2022-04-08T09:44:00Z</dcterms:created>
  <dcterms:modified xsi:type="dcterms:W3CDTF">2022-04-08T10:29:00Z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