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8296F" w14:textId="77777777" w:rsidR="009239F7" w:rsidRPr="002F6A28" w:rsidRDefault="00B46A9A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8EA8640" w14:textId="77777777" w:rsidR="009239F7" w:rsidRPr="002F6A28" w:rsidRDefault="00B46A9A" w:rsidP="002F6A28">
      <w:pPr>
        <w:jc w:val="center"/>
      </w:pPr>
      <w:r w:rsidRPr="002F6A28">
        <w:t>The following notification is being circulated in accordance with Article 10.6</w:t>
      </w:r>
    </w:p>
    <w:p w14:paraId="582D3A1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01F37" w14:paraId="30881E8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A19588B" w14:textId="77777777" w:rsidR="00F85C99" w:rsidRPr="002F6A28" w:rsidRDefault="00B46A9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966B972" w14:textId="77777777" w:rsidR="00F85C99" w:rsidRPr="002F6A28" w:rsidRDefault="00B46A9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Russian Federation</w:t>
            </w:r>
            <w:bookmarkEnd w:id="1"/>
            <w:r w:rsidRPr="002F6A28">
              <w:t xml:space="preserve"> </w:t>
            </w:r>
          </w:p>
          <w:p w14:paraId="14E501F0" w14:textId="77777777" w:rsidR="00F85C99" w:rsidRPr="002F6A28" w:rsidRDefault="00B46A9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01F37" w14:paraId="0CF977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78EFC" w14:textId="77777777" w:rsidR="00F85C99" w:rsidRPr="002F6A28" w:rsidRDefault="00B46A9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53C01" w14:textId="77777777" w:rsidR="00F85C99" w:rsidRPr="002F6A28" w:rsidRDefault="00B46A9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5DBBFEA" w14:textId="77777777" w:rsidR="00D76D15" w:rsidRPr="002F6A28" w:rsidRDefault="00B46A9A" w:rsidP="00155128">
            <w:pPr>
              <w:spacing w:before="120" w:after="120"/>
              <w:jc w:val="left"/>
            </w:pPr>
            <w:r w:rsidRPr="002F6A28">
              <w:t xml:space="preserve">Eurasian Economic Commission </w:t>
            </w:r>
            <w:r w:rsidRPr="002F6A28">
              <w:br/>
              <w:t xml:space="preserve">Department for Technical Regulation and Accreditation </w:t>
            </w:r>
            <w:r w:rsidRPr="002F6A28">
              <w:br/>
              <w:t xml:space="preserve">Tel: +7(495)669-24-00 </w:t>
            </w:r>
            <w:r w:rsidRPr="002F6A28">
              <w:br/>
              <w:t xml:space="preserve">Fax: +7(495)669-24-15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dept_techregulation@eurasiancommission.org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www.eurasiancommission.org</w:t>
              </w:r>
            </w:hyperlink>
            <w:r w:rsidRPr="002F6A28">
              <w:t xml:space="preserve"> </w:t>
            </w:r>
            <w:bookmarkEnd w:id="5"/>
          </w:p>
          <w:p w14:paraId="1A5E4DC6" w14:textId="77777777" w:rsidR="00F85C99" w:rsidRPr="002F6A28" w:rsidRDefault="00B46A9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EDA6FA2" w14:textId="77777777" w:rsidR="00D76D15" w:rsidRPr="002F6A28" w:rsidRDefault="00B46A9A" w:rsidP="00AA646C">
            <w:pPr>
              <w:spacing w:after="120"/>
              <w:jc w:val="left"/>
            </w:pPr>
            <w:r w:rsidRPr="002F6A28">
              <w:t xml:space="preserve">Russian Scientific and Technical </w:t>
            </w:r>
            <w:proofErr w:type="spellStart"/>
            <w:r w:rsidRPr="002F6A28">
              <w:t>Center</w:t>
            </w:r>
            <w:proofErr w:type="spellEnd"/>
            <w:r w:rsidRPr="002F6A28">
              <w:t xml:space="preserve"> for Information on Standardization, Metrology and Conformity Assessment (</w:t>
            </w:r>
            <w:proofErr w:type="spellStart"/>
            <w:r w:rsidRPr="002F6A28">
              <w:t>Standartinform</w:t>
            </w:r>
            <w:proofErr w:type="spellEnd"/>
            <w:r w:rsidRPr="002F6A28">
              <w:t>, National enquiry point for the TBT Agreement)</w:t>
            </w:r>
            <w:r w:rsidRPr="002F6A28">
              <w:br/>
              <w:t xml:space="preserve">Tel: +7(495) 531-26-59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info@gostinfo.ru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www.gostinfo.ru</w:t>
              </w:r>
            </w:hyperlink>
            <w:r w:rsidRPr="002F6A28">
              <w:t xml:space="preserve"> </w:t>
            </w:r>
            <w:bookmarkEnd w:id="7"/>
          </w:p>
        </w:tc>
      </w:tr>
      <w:tr w:rsidR="00301F37" w14:paraId="41ED1FF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4F8A2" w14:textId="77777777" w:rsidR="00F85C99" w:rsidRPr="002F6A28" w:rsidRDefault="00B46A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A3547E" w14:textId="77777777" w:rsidR="00F85C99" w:rsidRPr="0058336F" w:rsidRDefault="00B46A9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01F37" w14:paraId="541CEC1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13248" w14:textId="77777777" w:rsidR="00F85C99" w:rsidRPr="002F6A28" w:rsidRDefault="00B46A9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2DA4A" w14:textId="77777777" w:rsidR="00F85C99" w:rsidRPr="002F6A28" w:rsidRDefault="00B46A9A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Equipment for explosive environments</w:t>
            </w:r>
            <w:bookmarkStart w:id="20" w:name="sps3a"/>
            <w:bookmarkEnd w:id="20"/>
          </w:p>
        </w:tc>
      </w:tr>
      <w:tr w:rsidR="00301F37" w14:paraId="2631F4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A6328" w14:textId="77777777" w:rsidR="00F85C99" w:rsidRPr="002F6A28" w:rsidRDefault="00B46A9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AE938" w14:textId="77777777" w:rsidR="00F85C99" w:rsidRPr="002F6A28" w:rsidRDefault="00B46A9A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The draft amendments to the technical regulation "On the Safety of Equipment for Explosive Environments" (CU TR 012/2011) regarding the establishment of forms, schemes, and procedures for conformity assessment </w:t>
            </w:r>
            <w:proofErr w:type="gramStart"/>
            <w:r w:rsidR="00EE3A11" w:rsidRPr="00C379C8">
              <w:t>on the basis of</w:t>
            </w:r>
            <w:proofErr w:type="gramEnd"/>
            <w:r w:rsidR="00EE3A11" w:rsidRPr="00C379C8">
              <w:t xml:space="preserve"> standard conformity assessment schemes, approved by the Decision No. 44 of the EEC Council of April 18,2018 (12 page(s), in Russian)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01F37" w14:paraId="78F403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035BE" w14:textId="77777777" w:rsidR="00F85C99" w:rsidRPr="002F6A28" w:rsidRDefault="00B46A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A966A" w14:textId="77777777" w:rsidR="00F85C99" w:rsidRPr="002F6A28" w:rsidRDefault="00B46A9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amendments include clarifications on the following:</w:t>
            </w:r>
          </w:p>
          <w:p w14:paraId="7F89128E" w14:textId="77777777" w:rsidR="00FE448B" w:rsidRPr="00C379C8" w:rsidRDefault="00B46A9A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amendments to the Article 2 "Definitions" of the CU TR 012/2011,</w:t>
            </w:r>
          </w:p>
          <w:p w14:paraId="4899DEAE" w14:textId="77777777" w:rsidR="00FE448B" w:rsidRPr="00C379C8" w:rsidRDefault="00B46A9A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>wording of Article 5 of the CU TR 012/2011 "Ensuring compliance with safety requirements</w:t>
            </w:r>
            <w:proofErr w:type="gramStart"/>
            <w:r w:rsidRPr="00C379C8">
              <w:t>";</w:t>
            </w:r>
            <w:proofErr w:type="gramEnd"/>
          </w:p>
          <w:p w14:paraId="520084D0" w14:textId="77777777" w:rsidR="00FE448B" w:rsidRPr="00C379C8" w:rsidRDefault="00B46A9A" w:rsidP="002F6A28">
            <w:pPr>
              <w:numPr>
                <w:ilvl w:val="0"/>
                <w:numId w:val="16"/>
              </w:numPr>
              <w:spacing w:before="120" w:after="120"/>
              <w:jc w:val="left"/>
            </w:pPr>
            <w:r w:rsidRPr="00C379C8">
              <w:t xml:space="preserve">wording </w:t>
            </w:r>
            <w:proofErr w:type="gramStart"/>
            <w:r w:rsidRPr="00C379C8">
              <w:t>of  Article</w:t>
            </w:r>
            <w:proofErr w:type="gramEnd"/>
            <w:r w:rsidRPr="00C379C8">
              <w:t xml:space="preserve"> 6 of the CU TR 012/2011 "Conformity assessment"</w:t>
            </w:r>
          </w:p>
        </w:tc>
      </w:tr>
      <w:tr w:rsidR="00301F37" w14:paraId="02B99F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4903DB" w14:textId="77777777" w:rsidR="00F85C99" w:rsidRPr="002F6A28" w:rsidRDefault="00B46A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25BC67" w14:textId="77777777" w:rsidR="00F85C99" w:rsidRPr="002F6A28" w:rsidRDefault="00B46A9A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301F37" w14:paraId="2DDBD77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1865B5" w14:textId="77777777" w:rsidR="00F85C99" w:rsidRPr="002F6A28" w:rsidRDefault="00B46A9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02A760" w14:textId="77777777" w:rsidR="00F85C99" w:rsidRPr="002F6A28" w:rsidRDefault="00B46A9A" w:rsidP="00783081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 xml:space="preserve">The draft amendments to the Customs Union Technical Regulation "On the Safety of Equipment for Explosive Environments" (CU TR 012/2011) regarding the establishment of the Safety of Equipment for Explosive Environments" (CU TR 012/2011) regarding the establishment of forms, schemes, and procedures for conformity assessment </w:t>
            </w:r>
            <w:proofErr w:type="gramStart"/>
            <w:r w:rsidRPr="002F6A28">
              <w:rPr>
                <w:bCs/>
              </w:rPr>
              <w:t>on the basis of</w:t>
            </w:r>
            <w:proofErr w:type="gramEnd"/>
            <w:r w:rsidRPr="002F6A28">
              <w:rPr>
                <w:bCs/>
              </w:rPr>
              <w:t xml:space="preserve"> standard conformity assessment schemes, approved by the Decision No. 44 of the Commission's Council of April 18, 2018.</w:t>
            </w:r>
          </w:p>
        </w:tc>
      </w:tr>
      <w:tr w:rsidR="00301F37" w14:paraId="67208D0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E56537" w14:textId="77777777" w:rsidR="00EE3A11" w:rsidRPr="002F6A28" w:rsidRDefault="00B46A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68D449" w14:textId="77777777" w:rsidR="00EE3A11" w:rsidRPr="002F6A28" w:rsidRDefault="00B46A9A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4CA4BE2C" w14:textId="77777777" w:rsidR="00EE3A11" w:rsidRPr="002F6A28" w:rsidRDefault="00B46A9A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301F37" w14:paraId="03B214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F26B9" w14:textId="77777777" w:rsidR="00F85C99" w:rsidRPr="002F6A28" w:rsidRDefault="00B46A9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D779A" w14:textId="77777777" w:rsidR="00F85C99" w:rsidRPr="002F6A28" w:rsidRDefault="00B46A9A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30 January 2022</w:t>
            </w:r>
            <w:bookmarkStart w:id="36" w:name="sps12a"/>
            <w:bookmarkEnd w:id="36"/>
          </w:p>
        </w:tc>
      </w:tr>
      <w:tr w:rsidR="00301F37" w14:paraId="529D30E9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1BA1C62" w14:textId="77777777" w:rsidR="00F85C99" w:rsidRPr="002F6A28" w:rsidRDefault="00B46A9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BDFCDDE" w14:textId="77777777" w:rsidR="00F85C99" w:rsidRPr="002F6A28" w:rsidRDefault="00B46A9A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3E99791" w14:textId="77777777" w:rsidR="00D76D15" w:rsidRPr="002F6A28" w:rsidRDefault="00B46A9A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Eurasian Economic Commission </w:t>
            </w:r>
            <w:r w:rsidRPr="002F6A28">
              <w:br/>
              <w:t xml:space="preserve">Department for Technical Regulation and Accreditation </w:t>
            </w:r>
            <w:r w:rsidRPr="002F6A28">
              <w:br/>
              <w:t xml:space="preserve">Tel: +7(495)669-24-00 </w:t>
            </w:r>
            <w:r w:rsidRPr="002F6A28">
              <w:br/>
              <w:t xml:space="preserve">Fax: +7(495)669-24-15 </w:t>
            </w:r>
            <w:r w:rsidRPr="002F6A28">
              <w:br/>
              <w:t xml:space="preserve">E-mail: </w:t>
            </w:r>
            <w:hyperlink r:id="rId11" w:history="1">
              <w:r w:rsidRPr="002F6A28">
                <w:rPr>
                  <w:color w:val="0000FF"/>
                  <w:u w:val="single"/>
                </w:rPr>
                <w:t>dept_techregulation@eurasiancommission.org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www.eurasiancommission.org</w:t>
              </w:r>
            </w:hyperlink>
          </w:p>
          <w:p w14:paraId="036847F5" w14:textId="77777777" w:rsidR="00D76D15" w:rsidRPr="002F6A28" w:rsidRDefault="00237386" w:rsidP="00B16145">
            <w:pPr>
              <w:keepNext/>
              <w:keepLines/>
              <w:spacing w:before="120" w:after="120"/>
            </w:pPr>
            <w:hyperlink r:id="rId13" w:history="1">
              <w:r w:rsidR="00B46A9A" w:rsidRPr="002F6A28">
                <w:rPr>
                  <w:color w:val="0000FF"/>
                  <w:u w:val="single"/>
                </w:rPr>
                <w:t>https://docs.eaeunion.org/pd/ru-ru/0106766/pd_27102021</w:t>
              </w:r>
            </w:hyperlink>
            <w:bookmarkEnd w:id="40"/>
          </w:p>
        </w:tc>
      </w:tr>
    </w:tbl>
    <w:p w14:paraId="736A293E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667D5" w14:textId="77777777" w:rsidR="00380B60" w:rsidRDefault="00B46A9A">
      <w:r>
        <w:separator/>
      </w:r>
    </w:p>
  </w:endnote>
  <w:endnote w:type="continuationSeparator" w:id="0">
    <w:p w14:paraId="36A96D30" w14:textId="77777777" w:rsidR="00380B60" w:rsidRDefault="00B4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F63F" w14:textId="77777777" w:rsidR="009239F7" w:rsidRPr="002F6A28" w:rsidRDefault="00B46A9A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0FDA4" w14:textId="77777777" w:rsidR="009239F7" w:rsidRPr="002F6A28" w:rsidRDefault="00B46A9A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95EFC" w14:textId="77777777" w:rsidR="00EE3A11" w:rsidRPr="002F6A28" w:rsidRDefault="00B46A9A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D1E1E" w14:textId="77777777" w:rsidR="00380B60" w:rsidRDefault="00B46A9A">
      <w:r>
        <w:separator/>
      </w:r>
    </w:p>
  </w:footnote>
  <w:footnote w:type="continuationSeparator" w:id="0">
    <w:p w14:paraId="33BE239C" w14:textId="77777777" w:rsidR="00380B60" w:rsidRDefault="00B4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42FCD" w14:textId="77777777" w:rsidR="009239F7" w:rsidRPr="002F6A28" w:rsidRDefault="00B46A9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BDAAEF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778F0C" w14:textId="77777777" w:rsidR="009239F7" w:rsidRPr="002F6A28" w:rsidRDefault="00B46A9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8B7C49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ABB5A" w14:textId="77777777" w:rsidR="009239F7" w:rsidRPr="002F6A28" w:rsidRDefault="00B46A9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G/TBT/N/RUS/125</w:t>
    </w:r>
    <w:bookmarkEnd w:id="41"/>
  </w:p>
  <w:p w14:paraId="7CA24AC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1BA163" w14:textId="77777777" w:rsidR="009239F7" w:rsidRPr="002F6A28" w:rsidRDefault="00B46A9A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0B3EC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1F37" w14:paraId="3EA4DE7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32305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754A0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301F37" w14:paraId="1C129C7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5F6FD07" w14:textId="77777777" w:rsidR="00ED54E0" w:rsidRPr="009239F7" w:rsidRDefault="00B46A9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ECA75B4" wp14:editId="38126EE8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644965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55DD2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01F37" w14:paraId="093AAB6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09D6D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843D91" w14:textId="77777777" w:rsidR="009239F7" w:rsidRPr="002F6A28" w:rsidRDefault="00B46A9A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G/TBT/N/RUS/125</w:t>
          </w:r>
          <w:bookmarkEnd w:id="43"/>
        </w:p>
      </w:tc>
    </w:tr>
    <w:tr w:rsidR="00301F37" w14:paraId="2E0A3E1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CDA1E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C9B3FA" w14:textId="66007E8E" w:rsidR="00ED54E0" w:rsidRPr="009239F7" w:rsidRDefault="00B46A9A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 w:rsidRPr="00B46A9A">
            <w:rPr>
              <w:szCs w:val="16"/>
            </w:rPr>
            <w:t>2 November 2021</w:t>
          </w:r>
        </w:p>
      </w:tc>
    </w:tr>
    <w:tr w:rsidR="00301F37" w14:paraId="188124C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FD8C2A" w14:textId="30DF2B30" w:rsidR="00ED54E0" w:rsidRPr="009239F7" w:rsidRDefault="00B46A9A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237386">
            <w:rPr>
              <w:color w:val="FF0000"/>
              <w:szCs w:val="16"/>
            </w:rPr>
            <w:t>8320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F718D9" w14:textId="77777777" w:rsidR="00ED54E0" w:rsidRPr="009239F7" w:rsidRDefault="00B46A9A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301F37" w14:paraId="447E5CF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6BFDEB" w14:textId="77777777" w:rsidR="00ED54E0" w:rsidRPr="009239F7" w:rsidRDefault="00B46A9A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F8F93D" w14:textId="77777777" w:rsidR="00ED54E0" w:rsidRPr="002F6A28" w:rsidRDefault="00B46A9A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3EC17EB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3F4EA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E682B52" w:tentative="1">
      <w:start w:val="1"/>
      <w:numFmt w:val="lowerLetter"/>
      <w:lvlText w:val="%2."/>
      <w:lvlJc w:val="left"/>
      <w:pPr>
        <w:ind w:left="1080" w:hanging="360"/>
      </w:pPr>
    </w:lvl>
    <w:lvl w:ilvl="2" w:tplc="4FACD49C" w:tentative="1">
      <w:start w:val="1"/>
      <w:numFmt w:val="lowerRoman"/>
      <w:lvlText w:val="%3."/>
      <w:lvlJc w:val="right"/>
      <w:pPr>
        <w:ind w:left="1800" w:hanging="180"/>
      </w:pPr>
    </w:lvl>
    <w:lvl w:ilvl="3" w:tplc="FDBE164C" w:tentative="1">
      <w:start w:val="1"/>
      <w:numFmt w:val="decimal"/>
      <w:lvlText w:val="%4."/>
      <w:lvlJc w:val="left"/>
      <w:pPr>
        <w:ind w:left="2520" w:hanging="360"/>
      </w:pPr>
    </w:lvl>
    <w:lvl w:ilvl="4" w:tplc="AA306C84" w:tentative="1">
      <w:start w:val="1"/>
      <w:numFmt w:val="lowerLetter"/>
      <w:lvlText w:val="%5."/>
      <w:lvlJc w:val="left"/>
      <w:pPr>
        <w:ind w:left="3240" w:hanging="360"/>
      </w:pPr>
    </w:lvl>
    <w:lvl w:ilvl="5" w:tplc="9086012E" w:tentative="1">
      <w:start w:val="1"/>
      <w:numFmt w:val="lowerRoman"/>
      <w:lvlText w:val="%6."/>
      <w:lvlJc w:val="right"/>
      <w:pPr>
        <w:ind w:left="3960" w:hanging="180"/>
      </w:pPr>
    </w:lvl>
    <w:lvl w:ilvl="6" w:tplc="B0D2F19A" w:tentative="1">
      <w:start w:val="1"/>
      <w:numFmt w:val="decimal"/>
      <w:lvlText w:val="%7."/>
      <w:lvlJc w:val="left"/>
      <w:pPr>
        <w:ind w:left="4680" w:hanging="360"/>
      </w:pPr>
    </w:lvl>
    <w:lvl w:ilvl="7" w:tplc="55DE76E0" w:tentative="1">
      <w:start w:val="1"/>
      <w:numFmt w:val="lowerLetter"/>
      <w:lvlText w:val="%8."/>
      <w:lvlJc w:val="left"/>
      <w:pPr>
        <w:ind w:left="5400" w:hanging="360"/>
      </w:pPr>
    </w:lvl>
    <w:lvl w:ilvl="8" w:tplc="F5BCBB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868B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0AA1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EE3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BE3B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E60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EEE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F904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C401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18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37386"/>
    <w:rsid w:val="00267723"/>
    <w:rsid w:val="00270637"/>
    <w:rsid w:val="0027067B"/>
    <w:rsid w:val="002D21E3"/>
    <w:rsid w:val="002E174F"/>
    <w:rsid w:val="002F6A28"/>
    <w:rsid w:val="00301F37"/>
    <w:rsid w:val="00303D9D"/>
    <w:rsid w:val="00304AAE"/>
    <w:rsid w:val="003124EC"/>
    <w:rsid w:val="003531C5"/>
    <w:rsid w:val="003572B4"/>
    <w:rsid w:val="003723A9"/>
    <w:rsid w:val="00380B60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83081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1E6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6A9A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76D15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B5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asiancommission.org" TargetMode="External"/><Relationship Id="rId13" Type="http://schemas.openxmlformats.org/officeDocument/2006/relationships/hyperlink" Target="https://docs.eaeunion.org/pd/ru-ru/0106766/pd_27102021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ept_techregulation@eurasiancommission.org" TargetMode="External"/><Relationship Id="rId12" Type="http://schemas.openxmlformats.org/officeDocument/2006/relationships/hyperlink" Target="http://www.eurasiancommission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pt_techregulation@eurasiancommission.or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gostinfo.ru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info@gostinfo.ru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2666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2021-11-02T13:55:00Z</dcterms:created>
  <dcterms:modified xsi:type="dcterms:W3CDTF">2021-11-02T14:10:00Z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