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2AA0" w14:textId="77777777" w:rsidR="009239F7" w:rsidRPr="002F6A28" w:rsidRDefault="00E50D03" w:rsidP="002F6A28">
      <w:pPr>
        <w:pStyle w:val="Title"/>
        <w:rPr>
          <w:caps w:val="0"/>
          <w:kern w:val="0"/>
        </w:rPr>
      </w:pPr>
      <w:r w:rsidRPr="002F6A28">
        <w:rPr>
          <w:caps w:val="0"/>
          <w:kern w:val="0"/>
        </w:rPr>
        <w:t>NOTIFICATION</w:t>
      </w:r>
    </w:p>
    <w:p w14:paraId="12B7101F" w14:textId="77777777" w:rsidR="009239F7" w:rsidRPr="002F6A28" w:rsidRDefault="00E50D03" w:rsidP="002F6A28">
      <w:pPr>
        <w:jc w:val="center"/>
      </w:pPr>
      <w:r w:rsidRPr="002F6A28">
        <w:t>The following notification is being circulated in accordance with Article 10.6</w:t>
      </w:r>
    </w:p>
    <w:p w14:paraId="13F2407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87046" w14:paraId="3AB64BF9" w14:textId="77777777" w:rsidTr="0069259F">
        <w:tc>
          <w:tcPr>
            <w:tcW w:w="713" w:type="dxa"/>
            <w:tcBorders>
              <w:bottom w:val="single" w:sz="6" w:space="0" w:color="auto"/>
            </w:tcBorders>
            <w:shd w:val="clear" w:color="auto" w:fill="auto"/>
          </w:tcPr>
          <w:p w14:paraId="4FA0E356" w14:textId="77777777" w:rsidR="00F85C99" w:rsidRPr="002F6A28" w:rsidRDefault="00E50D03" w:rsidP="002F6A28">
            <w:pPr>
              <w:spacing w:before="120" w:after="120"/>
              <w:jc w:val="left"/>
            </w:pPr>
            <w:r w:rsidRPr="002F6A28">
              <w:rPr>
                <w:b/>
              </w:rPr>
              <w:t>1.</w:t>
            </w:r>
          </w:p>
        </w:tc>
        <w:tc>
          <w:tcPr>
            <w:tcW w:w="8546" w:type="dxa"/>
            <w:tcBorders>
              <w:bottom w:val="single" w:sz="6" w:space="0" w:color="auto"/>
            </w:tcBorders>
            <w:shd w:val="clear" w:color="auto" w:fill="auto"/>
          </w:tcPr>
          <w:p w14:paraId="6A3E319B" w14:textId="77777777" w:rsidR="00F85C99" w:rsidRPr="002F6A28" w:rsidRDefault="00E50D03" w:rsidP="00C805B6">
            <w:pPr>
              <w:spacing w:before="120" w:after="120"/>
            </w:pPr>
            <w:r w:rsidRPr="002F6A28">
              <w:rPr>
                <w:b/>
              </w:rPr>
              <w:t>Notifying Member:</w:t>
            </w:r>
            <w:r w:rsidR="00EE3A11" w:rsidRPr="00C92678">
              <w:t xml:space="preserve"> </w:t>
            </w:r>
            <w:r w:rsidR="00EE3A11" w:rsidRPr="00C92678">
              <w:rPr>
                <w:u w:val="single"/>
              </w:rPr>
              <w:t>PHILIPPINES</w:t>
            </w:r>
          </w:p>
          <w:p w14:paraId="6F01FF91" w14:textId="77777777" w:rsidR="00F85C99" w:rsidRPr="002F6A28" w:rsidRDefault="00E50D03" w:rsidP="002F6A28">
            <w:pPr>
              <w:spacing w:after="120"/>
            </w:pPr>
            <w:r w:rsidRPr="002F6A28">
              <w:rPr>
                <w:b/>
              </w:rPr>
              <w:t>If applicable, name of local government involved (Article 3.2 and 7.2):</w:t>
            </w:r>
            <w:r w:rsidR="00EE3A11" w:rsidRPr="00C379C8">
              <w:t xml:space="preserve"> </w:t>
            </w:r>
          </w:p>
        </w:tc>
      </w:tr>
      <w:tr w:rsidR="00787046" w14:paraId="537E157B" w14:textId="77777777" w:rsidTr="0069259F">
        <w:tc>
          <w:tcPr>
            <w:tcW w:w="713" w:type="dxa"/>
            <w:tcBorders>
              <w:top w:val="single" w:sz="6" w:space="0" w:color="auto"/>
              <w:bottom w:val="single" w:sz="6" w:space="0" w:color="auto"/>
            </w:tcBorders>
            <w:shd w:val="clear" w:color="auto" w:fill="auto"/>
          </w:tcPr>
          <w:p w14:paraId="7E8D5151" w14:textId="77777777" w:rsidR="00F85C99" w:rsidRPr="002F6A28" w:rsidRDefault="00E50D0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7583AB" w14:textId="77777777" w:rsidR="00F85C99" w:rsidRPr="002F6A28" w:rsidRDefault="00E50D03" w:rsidP="00155128">
            <w:pPr>
              <w:spacing w:before="120" w:after="120"/>
            </w:pPr>
            <w:r w:rsidRPr="002F6A28">
              <w:rPr>
                <w:b/>
              </w:rPr>
              <w:t>Agency responsible:</w:t>
            </w:r>
            <w:r w:rsidR="00EE3A11" w:rsidRPr="00C379C8">
              <w:t xml:space="preserve"> </w:t>
            </w:r>
          </w:p>
          <w:p w14:paraId="4D48F8AF" w14:textId="77777777" w:rsidR="00EE3A11" w:rsidRPr="00C379C8" w:rsidRDefault="00E50D03" w:rsidP="00155128">
            <w:r w:rsidRPr="00C379C8">
              <w:t>Dr. Samuel A. Zacate</w:t>
            </w:r>
          </w:p>
          <w:p w14:paraId="037928F2" w14:textId="77777777" w:rsidR="00EE3A11" w:rsidRPr="00C379C8" w:rsidRDefault="00E50D03" w:rsidP="00155128">
            <w:r w:rsidRPr="00C379C8">
              <w:t>Director General Food and Drug Administration</w:t>
            </w:r>
          </w:p>
          <w:p w14:paraId="5A247772" w14:textId="77777777" w:rsidR="00EE3A11" w:rsidRPr="00C379C8" w:rsidRDefault="00E50D03" w:rsidP="00155128">
            <w:pPr>
              <w:spacing w:after="120"/>
            </w:pPr>
            <w:r w:rsidRPr="00C379C8">
              <w:t>DEPARTMENT OF HEALTH</w:t>
            </w:r>
          </w:p>
          <w:p w14:paraId="44073EB5" w14:textId="77777777" w:rsidR="00F85C99" w:rsidRPr="002F6A28" w:rsidRDefault="00E50D0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64FD8DFA" w14:textId="77777777" w:rsidR="00AC6C6E" w:rsidRPr="00E41A9A" w:rsidRDefault="00E50D03" w:rsidP="00AA646C">
            <w:pPr>
              <w:rPr>
                <w:lang w:val="es-ES"/>
              </w:rPr>
            </w:pPr>
            <w:r w:rsidRPr="00E41A9A">
              <w:rPr>
                <w:lang w:val="es-ES"/>
              </w:rPr>
              <w:t>Maria Cecilia C. Matienzo</w:t>
            </w:r>
          </w:p>
          <w:p w14:paraId="6E3CA30F" w14:textId="77777777" w:rsidR="00AC6C6E" w:rsidRPr="00E41A9A" w:rsidRDefault="00E50D03" w:rsidP="00AA646C">
            <w:pPr>
              <w:rPr>
                <w:lang w:val="es-ES"/>
              </w:rPr>
            </w:pPr>
            <w:r w:rsidRPr="00E41A9A">
              <w:rPr>
                <w:lang w:val="es-ES"/>
              </w:rPr>
              <w:t>Director IV</w:t>
            </w:r>
          </w:p>
          <w:p w14:paraId="27485E3A" w14:textId="77777777" w:rsidR="00AC6C6E" w:rsidRPr="00C379C8" w:rsidRDefault="00E50D03" w:rsidP="00AA646C">
            <w:r w:rsidRPr="00C379C8">
              <w:t>Center for Drug Regulation and Research</w:t>
            </w:r>
          </w:p>
          <w:p w14:paraId="1E53A094" w14:textId="77777777" w:rsidR="00AC6C6E" w:rsidRPr="00C379C8" w:rsidRDefault="00E50D03" w:rsidP="00AA646C">
            <w:r w:rsidRPr="00C379C8">
              <w:t>Food and Drug Administration</w:t>
            </w:r>
          </w:p>
          <w:p w14:paraId="09440883" w14:textId="77777777" w:rsidR="00AC6C6E" w:rsidRPr="00C379C8" w:rsidRDefault="00E50D03" w:rsidP="00AA646C">
            <w:r w:rsidRPr="00C379C8">
              <w:t>DEPARTMENT OF HEALTH</w:t>
            </w:r>
          </w:p>
          <w:p w14:paraId="12074CA7" w14:textId="77777777" w:rsidR="00AC6C6E" w:rsidRPr="00C379C8" w:rsidRDefault="00E50D03" w:rsidP="00AA646C">
            <w:r w:rsidRPr="00C379C8">
              <w:t xml:space="preserve">Email: </w:t>
            </w:r>
            <w:hyperlink r:id="rId9" w:history="1">
              <w:r w:rsidRPr="00C379C8">
                <w:rPr>
                  <w:color w:val="0000FF"/>
                  <w:u w:val="single"/>
                </w:rPr>
                <w:t>cdrr.od@fda.gov.ph</w:t>
              </w:r>
            </w:hyperlink>
            <w:r w:rsidRPr="00C379C8">
              <w:t xml:space="preserve">, </w:t>
            </w:r>
            <w:hyperlink r:id="rId10" w:history="1">
              <w:r w:rsidRPr="00C379C8">
                <w:rPr>
                  <w:color w:val="0000FF"/>
                  <w:u w:val="single"/>
                </w:rPr>
                <w:t>cdrr.sds@fda.gov.ph</w:t>
              </w:r>
            </w:hyperlink>
            <w:r w:rsidRPr="00C379C8">
              <w:t xml:space="preserve">; </w:t>
            </w:r>
            <w:hyperlink r:id="rId11" w:history="1">
              <w:r w:rsidRPr="00C379C8">
                <w:rPr>
                  <w:color w:val="0000FF"/>
                  <w:u w:val="single"/>
                </w:rPr>
                <w:t>BPS@dti.gov.ph</w:t>
              </w:r>
            </w:hyperlink>
            <w:r w:rsidRPr="00C379C8">
              <w:t xml:space="preserve">; </w:t>
            </w:r>
            <w:hyperlink r:id="rId12" w:history="1">
              <w:r w:rsidRPr="00C379C8">
                <w:rPr>
                  <w:color w:val="0000FF"/>
                  <w:u w:val="single"/>
                </w:rPr>
                <w:t>BPS.SMD@dti.gov.ph</w:t>
              </w:r>
            </w:hyperlink>
          </w:p>
          <w:p w14:paraId="3D146BF3" w14:textId="77777777" w:rsidR="00AC6C6E" w:rsidRPr="00C379C8" w:rsidRDefault="00737841" w:rsidP="00AA646C">
            <w:pPr>
              <w:spacing w:after="120"/>
            </w:pPr>
            <w:hyperlink r:id="rId13" w:history="1">
              <w:r w:rsidR="00E50D03" w:rsidRPr="00D866D0">
                <w:rPr>
                  <w:rStyle w:val="Hyperlink"/>
                </w:rPr>
                <w:t>www.fda.gov.ph</w:t>
              </w:r>
            </w:hyperlink>
            <w:r w:rsidR="00E50D03">
              <w:t xml:space="preserve"> </w:t>
            </w:r>
          </w:p>
        </w:tc>
      </w:tr>
      <w:tr w:rsidR="00787046" w14:paraId="048C5649" w14:textId="77777777" w:rsidTr="0069259F">
        <w:tc>
          <w:tcPr>
            <w:tcW w:w="713" w:type="dxa"/>
            <w:tcBorders>
              <w:top w:val="single" w:sz="6" w:space="0" w:color="auto"/>
              <w:bottom w:val="single" w:sz="6" w:space="0" w:color="auto"/>
            </w:tcBorders>
            <w:shd w:val="clear" w:color="auto" w:fill="auto"/>
          </w:tcPr>
          <w:p w14:paraId="270ADF1C" w14:textId="77777777" w:rsidR="00F85C99" w:rsidRPr="002F6A28" w:rsidRDefault="00E50D0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71DFD53" w14:textId="77777777" w:rsidR="00F85C99" w:rsidRPr="0058336F" w:rsidRDefault="00E50D03"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87046" w14:paraId="75823A10" w14:textId="77777777" w:rsidTr="0069259F">
        <w:tc>
          <w:tcPr>
            <w:tcW w:w="713" w:type="dxa"/>
            <w:tcBorders>
              <w:top w:val="single" w:sz="6" w:space="0" w:color="auto"/>
              <w:bottom w:val="single" w:sz="6" w:space="0" w:color="auto"/>
            </w:tcBorders>
            <w:shd w:val="clear" w:color="auto" w:fill="auto"/>
          </w:tcPr>
          <w:p w14:paraId="16D6EF09" w14:textId="77777777" w:rsidR="00F85C99" w:rsidRPr="002F6A28" w:rsidRDefault="00E50D0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E9CEECE" w14:textId="77777777" w:rsidR="00F85C99" w:rsidRPr="002F6A28" w:rsidRDefault="00E50D0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Pharmaceutics (ICS code(s): 11.120)</w:t>
            </w:r>
          </w:p>
        </w:tc>
      </w:tr>
      <w:tr w:rsidR="00787046" w14:paraId="601BAB8A" w14:textId="77777777" w:rsidTr="0069259F">
        <w:tc>
          <w:tcPr>
            <w:tcW w:w="713" w:type="dxa"/>
            <w:tcBorders>
              <w:top w:val="single" w:sz="6" w:space="0" w:color="auto"/>
              <w:bottom w:val="single" w:sz="6" w:space="0" w:color="auto"/>
            </w:tcBorders>
            <w:shd w:val="clear" w:color="auto" w:fill="auto"/>
          </w:tcPr>
          <w:p w14:paraId="1FFA60DD" w14:textId="77777777" w:rsidR="00F85C99" w:rsidRPr="002F6A28" w:rsidRDefault="00E50D0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362CB3C" w14:textId="77777777" w:rsidR="00F85C99" w:rsidRPr="002F6A28" w:rsidRDefault="00E50D03" w:rsidP="002F6A28">
            <w:pPr>
              <w:spacing w:before="120" w:after="120"/>
            </w:pPr>
            <w:r w:rsidRPr="002F6A28">
              <w:rPr>
                <w:b/>
              </w:rPr>
              <w:t>Title, number of pages and language(s) of the notified document:</w:t>
            </w:r>
            <w:r w:rsidR="00EE3A11" w:rsidRPr="00C379C8">
              <w:t xml:space="preserve"> Adoption and Implementation of the ASEAN Mutual Recognition Arrangement for Bioequivalence Study Reports of Generic Medicinal Products; (7 page(s), in English)</w:t>
            </w:r>
          </w:p>
        </w:tc>
      </w:tr>
      <w:tr w:rsidR="00787046" w14:paraId="28EAED5B" w14:textId="77777777" w:rsidTr="0069259F">
        <w:tc>
          <w:tcPr>
            <w:tcW w:w="713" w:type="dxa"/>
            <w:tcBorders>
              <w:top w:val="single" w:sz="6" w:space="0" w:color="auto"/>
              <w:bottom w:val="single" w:sz="6" w:space="0" w:color="auto"/>
            </w:tcBorders>
            <w:shd w:val="clear" w:color="auto" w:fill="auto"/>
          </w:tcPr>
          <w:p w14:paraId="2090B8CF" w14:textId="77777777" w:rsidR="00F85C99" w:rsidRPr="002F6A28" w:rsidRDefault="00E50D0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B0E9159" w14:textId="77777777" w:rsidR="00F85C99" w:rsidRPr="002F6A28" w:rsidRDefault="00E50D03" w:rsidP="002F6A28">
            <w:pPr>
              <w:spacing w:before="120" w:after="120"/>
              <w:rPr>
                <w:b/>
              </w:rPr>
            </w:pPr>
            <w:r w:rsidRPr="002F6A28">
              <w:rPr>
                <w:b/>
              </w:rPr>
              <w:t>Description of content:</w:t>
            </w:r>
            <w:r w:rsidR="00FE448B" w:rsidRPr="00C379C8">
              <w:t xml:space="preserve"> The policy adopts the ASEAN Mutual Recognition Arrangement for Bioequivalence Study Reports of Generic Medicinal Products and contains the general rules, regulations, and guidelines for the for the covered generic pharmaceutical products and listing of BE Centres in the ASEAN. </w:t>
            </w:r>
          </w:p>
        </w:tc>
      </w:tr>
      <w:tr w:rsidR="00787046" w14:paraId="7D919B86" w14:textId="77777777" w:rsidTr="0069259F">
        <w:tc>
          <w:tcPr>
            <w:tcW w:w="713" w:type="dxa"/>
            <w:tcBorders>
              <w:top w:val="single" w:sz="6" w:space="0" w:color="auto"/>
              <w:bottom w:val="single" w:sz="6" w:space="0" w:color="auto"/>
            </w:tcBorders>
            <w:shd w:val="clear" w:color="auto" w:fill="auto"/>
          </w:tcPr>
          <w:p w14:paraId="57A096CC" w14:textId="77777777" w:rsidR="00F85C99" w:rsidRPr="002F6A28" w:rsidRDefault="00E50D0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6C5E8AD" w14:textId="77777777" w:rsidR="00F85C99" w:rsidRPr="002F6A28" w:rsidRDefault="00E50D03" w:rsidP="002F6A28">
            <w:pPr>
              <w:spacing w:before="120" w:after="120"/>
              <w:rPr>
                <w:b/>
              </w:rPr>
            </w:pPr>
            <w:r w:rsidRPr="002F6A28">
              <w:rPr>
                <w:b/>
              </w:rPr>
              <w:t>Objective and rationale, including the nature of urgent problems where applicable:</w:t>
            </w:r>
            <w:r w:rsidR="00EE3A11" w:rsidRPr="00C379C8">
              <w:t xml:space="preserve"> This Order aims to officially adopt and implement the </w:t>
            </w:r>
            <w:r w:rsidR="00EE3A11" w:rsidRPr="00C379C8">
              <w:rPr>
                <w:i/>
                <w:iCs/>
              </w:rPr>
              <w:t xml:space="preserve">"ASEAN MRA for BE Study Reports of Generic Medicinal Products" </w:t>
            </w:r>
            <w:r w:rsidR="00EE3A11" w:rsidRPr="00C379C8">
              <w:t>to enable BE Study Reports issued by ASEAN-Listed BE Centres to be mutually recognized across Member States for review and assessment. Specifically, this Order aims to provide general rules, regulations, and guidelines for BE Study Reports of covered generic pharmaceutical products and listing of BE Centres in the ASEAN.</w:t>
            </w:r>
          </w:p>
          <w:p w14:paraId="317C0326" w14:textId="77777777" w:rsidR="00EE3A11" w:rsidRPr="00C379C8" w:rsidRDefault="00E50D03" w:rsidP="002F6A28">
            <w:pPr>
              <w:spacing w:before="120" w:after="120"/>
            </w:pPr>
            <w:r w:rsidRPr="00C379C8">
              <w:t xml:space="preserve">The ASEAN Mutual Recognition Arrangement for Bioequivalence Study Reports of Generic Medicinal Products or Sectoral MRA was signed on 02 November 2017 in Manila, Philippines and entered into force at the same day. Philippines, as one of the signatories </w:t>
            </w:r>
            <w:r w:rsidRPr="00C379C8">
              <w:lastRenderedPageBreak/>
              <w:t>of the Sectoral MRA, is obliged to implement this arrangement. Article 10 of the Sectoral MRA states that the mutual recognition obligations referred to in Article 6 shall be implemented no later than 5 years after the entry of force of the Sectoral MRA. Article 6 states that Member States shall accept BE Study Reports issued by Listed BE Centres for review and assessment. The 5 years provision stated in the Sectoral MRA has already lapsed, and yet, the Philippines has not implemented the Sectoral MRA due to absence of administrative issuance that will regulate its local implementation.</w:t>
            </w:r>
          </w:p>
        </w:tc>
      </w:tr>
      <w:tr w:rsidR="00787046" w14:paraId="45288727" w14:textId="77777777" w:rsidTr="0069259F">
        <w:tc>
          <w:tcPr>
            <w:tcW w:w="713" w:type="dxa"/>
            <w:tcBorders>
              <w:top w:val="single" w:sz="6" w:space="0" w:color="auto"/>
              <w:bottom w:val="single" w:sz="6" w:space="0" w:color="auto"/>
            </w:tcBorders>
            <w:shd w:val="clear" w:color="auto" w:fill="auto"/>
          </w:tcPr>
          <w:p w14:paraId="560851E6" w14:textId="77777777" w:rsidR="00F85C99" w:rsidRPr="002F6A28" w:rsidRDefault="00E50D0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83AC5E4" w14:textId="77777777" w:rsidR="00086AF5" w:rsidRPr="00086AF5" w:rsidRDefault="00E50D03" w:rsidP="007F13E8">
            <w:pPr>
              <w:spacing w:before="120" w:after="120"/>
              <w:rPr>
                <w:bCs/>
              </w:rPr>
            </w:pPr>
            <w:r w:rsidRPr="002F6A28">
              <w:rPr>
                <w:b/>
              </w:rPr>
              <w:t>Relevant documents:</w:t>
            </w:r>
            <w:r w:rsidR="00EE3A11" w:rsidRPr="002F6A28">
              <w:t xml:space="preserve"> </w:t>
            </w:r>
          </w:p>
          <w:p w14:paraId="21C66D6F" w14:textId="77777777" w:rsidR="00EE3A11" w:rsidRPr="002F6A28" w:rsidRDefault="00E50D03" w:rsidP="007F13E8">
            <w:pPr>
              <w:numPr>
                <w:ilvl w:val="0"/>
                <w:numId w:val="16"/>
              </w:numPr>
              <w:spacing w:before="120" w:after="120"/>
            </w:pPr>
            <w:r w:rsidRPr="002F6A28">
              <w:t>Republic Act No. 9711 "Food and Drug Administration (FDA) Act of 2009"</w:t>
            </w:r>
          </w:p>
          <w:p w14:paraId="5460F83D" w14:textId="77777777" w:rsidR="00EE3A11" w:rsidRPr="002F6A28" w:rsidRDefault="00E50D03" w:rsidP="007F13E8">
            <w:pPr>
              <w:numPr>
                <w:ilvl w:val="0"/>
                <w:numId w:val="16"/>
              </w:numPr>
              <w:spacing w:before="120" w:after="120"/>
            </w:pPr>
            <w:r w:rsidRPr="002F6A28">
              <w:t>Administrative Order No. 67 s. 1989 "Revised Rules and Regulations on Registration of Pharmaceutical Products"</w:t>
            </w:r>
          </w:p>
          <w:p w14:paraId="27202FDA" w14:textId="77777777" w:rsidR="00EE3A11" w:rsidRPr="002F6A28" w:rsidRDefault="00E50D03" w:rsidP="007F13E8">
            <w:pPr>
              <w:numPr>
                <w:ilvl w:val="0"/>
                <w:numId w:val="16"/>
              </w:numPr>
              <w:spacing w:before="120" w:after="120"/>
            </w:pPr>
            <w:r w:rsidRPr="002F6A28">
              <w:t>Administrative Order No. 2013-0021 "Adoption of the Association of Southeast Asian Nations (ASEAN) Common Technical Dossier (ACTD) and Common Technical Requirements (ACTR) for the Registration of Pharmaceutical Products for Human Use"</w:t>
            </w:r>
          </w:p>
          <w:p w14:paraId="18D8830F" w14:textId="77777777" w:rsidR="00EE3A11" w:rsidRPr="002F6A28" w:rsidRDefault="00E50D03" w:rsidP="007F13E8">
            <w:pPr>
              <w:numPr>
                <w:ilvl w:val="0"/>
                <w:numId w:val="16"/>
              </w:numPr>
              <w:spacing w:before="120" w:after="120"/>
            </w:pPr>
            <w:r w:rsidRPr="002F6A28">
              <w:t>ASEAN Mutual Recognition Arrangement for Bioequivalence Study Reports of Generic Medicinal Products</w:t>
            </w:r>
          </w:p>
        </w:tc>
      </w:tr>
      <w:tr w:rsidR="00787046" w14:paraId="5CCC2388" w14:textId="77777777" w:rsidTr="00AE6CC8">
        <w:trPr>
          <w:cantSplit/>
        </w:trPr>
        <w:tc>
          <w:tcPr>
            <w:tcW w:w="713" w:type="dxa"/>
            <w:tcBorders>
              <w:top w:val="single" w:sz="6" w:space="0" w:color="auto"/>
              <w:bottom w:val="single" w:sz="6" w:space="0" w:color="auto"/>
            </w:tcBorders>
            <w:shd w:val="clear" w:color="auto" w:fill="auto"/>
          </w:tcPr>
          <w:p w14:paraId="3ED5BF8E" w14:textId="77777777" w:rsidR="00EE3A11" w:rsidRPr="002F6A28" w:rsidRDefault="00E50D0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228301" w14:textId="77777777" w:rsidR="00EE3A11" w:rsidRPr="002F6A28" w:rsidRDefault="00E50D03" w:rsidP="008953C4">
            <w:pPr>
              <w:spacing w:before="120" w:after="120"/>
            </w:pPr>
            <w:r w:rsidRPr="002F6A28">
              <w:rPr>
                <w:b/>
              </w:rPr>
              <w:t>Proposed date of adoption:</w:t>
            </w:r>
            <w:r w:rsidRPr="00C379C8">
              <w:t xml:space="preserve"> To be determined</w:t>
            </w:r>
          </w:p>
          <w:p w14:paraId="2C087DBA" w14:textId="77777777" w:rsidR="00EE3A11" w:rsidRPr="002F6A28" w:rsidRDefault="00E50D03" w:rsidP="008953C4">
            <w:pPr>
              <w:spacing w:after="120"/>
            </w:pPr>
            <w:r w:rsidRPr="002F6A28">
              <w:rPr>
                <w:b/>
              </w:rPr>
              <w:t>Proposed date of entry into force:</w:t>
            </w:r>
            <w:r w:rsidRPr="00C379C8">
              <w:t xml:space="preserve"> To be determined</w:t>
            </w:r>
          </w:p>
        </w:tc>
      </w:tr>
      <w:tr w:rsidR="00787046" w14:paraId="1B0FA2B2" w14:textId="77777777" w:rsidTr="0069259F">
        <w:tc>
          <w:tcPr>
            <w:tcW w:w="713" w:type="dxa"/>
            <w:tcBorders>
              <w:top w:val="single" w:sz="6" w:space="0" w:color="auto"/>
              <w:bottom w:val="single" w:sz="6" w:space="0" w:color="auto"/>
            </w:tcBorders>
            <w:shd w:val="clear" w:color="auto" w:fill="auto"/>
          </w:tcPr>
          <w:p w14:paraId="1E7C05E1" w14:textId="77777777" w:rsidR="00F85C99" w:rsidRPr="002F6A28" w:rsidRDefault="00E50D0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6FA4AAE" w14:textId="77777777" w:rsidR="00F85C99" w:rsidRPr="002F6A28" w:rsidRDefault="00E50D03" w:rsidP="002F6A28">
            <w:pPr>
              <w:spacing w:before="120" w:after="120"/>
            </w:pPr>
            <w:r w:rsidRPr="002F6A28">
              <w:rPr>
                <w:b/>
              </w:rPr>
              <w:t>Final date for comments:</w:t>
            </w:r>
            <w:r w:rsidR="00EE3A11" w:rsidRPr="00C379C8">
              <w:t xml:space="preserve"> 25 October 2024</w:t>
            </w:r>
          </w:p>
        </w:tc>
      </w:tr>
      <w:tr w:rsidR="00787046" w14:paraId="0B679D1F" w14:textId="77777777" w:rsidTr="0069259F">
        <w:tc>
          <w:tcPr>
            <w:tcW w:w="713" w:type="dxa"/>
            <w:tcBorders>
              <w:top w:val="single" w:sz="6" w:space="0" w:color="auto"/>
            </w:tcBorders>
            <w:shd w:val="clear" w:color="auto" w:fill="auto"/>
          </w:tcPr>
          <w:p w14:paraId="41E143F5" w14:textId="77777777" w:rsidR="00F85C99" w:rsidRPr="002F6A28" w:rsidRDefault="00E50D0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9F8D7CE" w14:textId="77777777" w:rsidR="00F85C99" w:rsidRPr="002F6A28" w:rsidRDefault="00E50D0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A7BF6D1" w14:textId="77777777" w:rsidR="00EE3A11" w:rsidRPr="00A12DDE" w:rsidRDefault="00E50D03" w:rsidP="00B16145">
            <w:pPr>
              <w:keepNext/>
              <w:keepLines/>
              <w:rPr>
                <w:bCs/>
              </w:rPr>
            </w:pPr>
            <w:r w:rsidRPr="00A12DDE">
              <w:rPr>
                <w:bCs/>
              </w:rPr>
              <w:t>Mr. Neil P. Catajay</w:t>
            </w:r>
          </w:p>
          <w:p w14:paraId="60B888DD" w14:textId="77777777" w:rsidR="00EE3A11" w:rsidRPr="00A12DDE" w:rsidRDefault="00E50D03" w:rsidP="00B16145">
            <w:pPr>
              <w:keepNext/>
              <w:keepLines/>
              <w:rPr>
                <w:bCs/>
              </w:rPr>
            </w:pPr>
            <w:r w:rsidRPr="00A12DDE">
              <w:rPr>
                <w:bCs/>
              </w:rPr>
              <w:t>Director</w:t>
            </w:r>
          </w:p>
          <w:p w14:paraId="2267776E" w14:textId="77777777" w:rsidR="00EE3A11" w:rsidRPr="00A12DDE" w:rsidRDefault="00E50D03" w:rsidP="00B16145">
            <w:pPr>
              <w:keepNext/>
              <w:keepLines/>
              <w:rPr>
                <w:bCs/>
              </w:rPr>
            </w:pPr>
            <w:r w:rsidRPr="00A12DDE">
              <w:rPr>
                <w:bCs/>
              </w:rPr>
              <w:t>Bureau of Philippine Standards</w:t>
            </w:r>
          </w:p>
          <w:p w14:paraId="765D7513" w14:textId="77777777" w:rsidR="00EE3A11" w:rsidRPr="00A12DDE" w:rsidRDefault="00E50D03" w:rsidP="00B16145">
            <w:pPr>
              <w:keepNext/>
              <w:keepLines/>
              <w:rPr>
                <w:bCs/>
              </w:rPr>
            </w:pPr>
            <w:r w:rsidRPr="00A12DDE">
              <w:rPr>
                <w:bCs/>
              </w:rPr>
              <w:t>Department of Trade and Industry</w:t>
            </w:r>
          </w:p>
          <w:p w14:paraId="7A6149FE" w14:textId="77777777" w:rsidR="00EE3A11" w:rsidRPr="00A12DDE" w:rsidRDefault="00E50D03" w:rsidP="00B16145">
            <w:pPr>
              <w:keepNext/>
              <w:keepLines/>
              <w:rPr>
                <w:bCs/>
              </w:rPr>
            </w:pPr>
            <w:r w:rsidRPr="00A12DDE">
              <w:rPr>
                <w:bCs/>
              </w:rPr>
              <w:t>3F Trade and Industry Building</w:t>
            </w:r>
          </w:p>
          <w:p w14:paraId="01608B4A" w14:textId="77777777" w:rsidR="00EE3A11" w:rsidRPr="00A12DDE" w:rsidRDefault="00E50D03" w:rsidP="00B16145">
            <w:pPr>
              <w:keepNext/>
              <w:keepLines/>
              <w:rPr>
                <w:bCs/>
              </w:rPr>
            </w:pPr>
            <w:r w:rsidRPr="00A12DDE">
              <w:rPr>
                <w:bCs/>
              </w:rPr>
              <w:t>361 Sen. Gil Puyat Avenue</w:t>
            </w:r>
          </w:p>
          <w:p w14:paraId="6FCC4CA7" w14:textId="77777777" w:rsidR="00EE3A11" w:rsidRPr="00A12DDE" w:rsidRDefault="00E50D03" w:rsidP="00B16145">
            <w:pPr>
              <w:keepNext/>
              <w:keepLines/>
              <w:rPr>
                <w:bCs/>
              </w:rPr>
            </w:pPr>
            <w:r w:rsidRPr="00A12DDE">
              <w:rPr>
                <w:bCs/>
              </w:rPr>
              <w:t>Makati City</w:t>
            </w:r>
          </w:p>
          <w:p w14:paraId="0BA59A68" w14:textId="77777777" w:rsidR="00EE3A11" w:rsidRPr="00A12DDE" w:rsidRDefault="00E50D03" w:rsidP="00B16145">
            <w:pPr>
              <w:keepNext/>
              <w:keepLines/>
              <w:rPr>
                <w:bCs/>
              </w:rPr>
            </w:pPr>
            <w:r w:rsidRPr="00A12DDE">
              <w:rPr>
                <w:bCs/>
              </w:rPr>
              <w:t>Philippines</w:t>
            </w:r>
          </w:p>
          <w:p w14:paraId="6B2150D6" w14:textId="77777777" w:rsidR="00EE3A11" w:rsidRPr="00A12DDE" w:rsidRDefault="00E50D03" w:rsidP="00B16145">
            <w:pPr>
              <w:keepNext/>
              <w:keepLines/>
              <w:rPr>
                <w:bCs/>
              </w:rPr>
            </w:pPr>
            <w:r w:rsidRPr="00A12DDE">
              <w:rPr>
                <w:bCs/>
              </w:rPr>
              <w:t>1200</w:t>
            </w:r>
          </w:p>
          <w:p w14:paraId="7826FF66" w14:textId="77777777" w:rsidR="00EE3A11" w:rsidRPr="00A12DDE" w:rsidRDefault="00E50D03" w:rsidP="00B16145">
            <w:pPr>
              <w:keepNext/>
              <w:keepLines/>
              <w:rPr>
                <w:bCs/>
              </w:rPr>
            </w:pPr>
            <w:r w:rsidRPr="00A12DDE">
              <w:rPr>
                <w:bCs/>
              </w:rPr>
              <w:t>Tel: (632) 751 4700; (632) 7913128</w:t>
            </w:r>
          </w:p>
          <w:p w14:paraId="0B20EE5C" w14:textId="77777777" w:rsidR="00EE3A11" w:rsidRPr="00A12DDE" w:rsidRDefault="00E50D03" w:rsidP="00B16145">
            <w:pPr>
              <w:keepNext/>
              <w:keepLines/>
              <w:rPr>
                <w:bCs/>
              </w:rPr>
            </w:pPr>
            <w:r w:rsidRPr="00A12DDE">
              <w:rPr>
                <w:bCs/>
              </w:rPr>
              <w:t xml:space="preserve">Email: </w:t>
            </w:r>
            <w:hyperlink r:id="rId14" w:history="1">
              <w:r w:rsidRPr="00A12DDE">
                <w:rPr>
                  <w:bCs/>
                  <w:color w:val="0000FF"/>
                  <w:u w:val="single"/>
                </w:rPr>
                <w:t>bps@dti.gov.ph</w:t>
              </w:r>
            </w:hyperlink>
          </w:p>
          <w:p w14:paraId="0964EE1B" w14:textId="77777777" w:rsidR="00EE3A11" w:rsidRPr="00A12DDE" w:rsidRDefault="00E50D03" w:rsidP="00B16145">
            <w:pPr>
              <w:keepNext/>
              <w:keepLines/>
              <w:rPr>
                <w:bCs/>
              </w:rPr>
            </w:pPr>
            <w:r w:rsidRPr="00A12DDE">
              <w:rPr>
                <w:bCs/>
              </w:rPr>
              <w:t xml:space="preserve">Website: </w:t>
            </w:r>
            <w:hyperlink r:id="rId15" w:tgtFrame="_blank" w:history="1">
              <w:r w:rsidRPr="00A12DDE">
                <w:rPr>
                  <w:bCs/>
                  <w:color w:val="0000FF"/>
                  <w:u w:val="single"/>
                </w:rPr>
                <w:t>http://www.bps.dti.gov.ph</w:t>
              </w:r>
            </w:hyperlink>
          </w:p>
          <w:p w14:paraId="000F3B82" w14:textId="77777777" w:rsidR="00EE3A11" w:rsidRPr="00A12DDE" w:rsidRDefault="00737841" w:rsidP="00B16145">
            <w:pPr>
              <w:keepNext/>
              <w:keepLines/>
              <w:rPr>
                <w:bCs/>
              </w:rPr>
            </w:pPr>
            <w:hyperlink r:id="rId16" w:tgtFrame="_blank" w:history="1">
              <w:r w:rsidR="00E50D03" w:rsidRPr="00A12DDE">
                <w:rPr>
                  <w:bCs/>
                  <w:color w:val="0000FF"/>
                  <w:u w:val="single"/>
                </w:rPr>
                <w:t>https://www.fda.gov.ph/90546-2/</w:t>
              </w:r>
            </w:hyperlink>
          </w:p>
          <w:p w14:paraId="636A9875" w14:textId="77777777" w:rsidR="00EE3A11" w:rsidRPr="00A12DDE" w:rsidRDefault="00737841" w:rsidP="00B16145">
            <w:pPr>
              <w:keepNext/>
              <w:keepLines/>
              <w:pBdr>
                <w:top w:val="none" w:sz="0" w:space="4" w:color="auto"/>
              </w:pBdr>
              <w:spacing w:after="120"/>
              <w:rPr>
                <w:bCs/>
              </w:rPr>
            </w:pPr>
            <w:hyperlink r:id="rId17" w:tgtFrame="_blank" w:history="1">
              <w:r w:rsidR="00E50D03" w:rsidRPr="00A12DDE">
                <w:rPr>
                  <w:bCs/>
                  <w:color w:val="0000FF"/>
                  <w:u w:val="single"/>
                </w:rPr>
                <w:t>https://members.wto.org/crnattachments/2024/TBT/PHL/24_06810_00_e.pdf</w:t>
              </w:r>
            </w:hyperlink>
          </w:p>
        </w:tc>
      </w:tr>
    </w:tbl>
    <w:p w14:paraId="21035C7F"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98E4" w14:textId="77777777" w:rsidR="00E50D03" w:rsidRDefault="00E50D03">
      <w:r>
        <w:separator/>
      </w:r>
    </w:p>
  </w:endnote>
  <w:endnote w:type="continuationSeparator" w:id="0">
    <w:p w14:paraId="3FF0DE71" w14:textId="77777777" w:rsidR="00E50D03" w:rsidRDefault="00E5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9635" w14:textId="77777777" w:rsidR="009239F7" w:rsidRPr="002F6A28" w:rsidRDefault="00E50D0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C5F2" w14:textId="77777777" w:rsidR="009239F7" w:rsidRPr="002F6A28" w:rsidRDefault="00E50D0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D60E" w14:textId="77777777" w:rsidR="00EE3A11" w:rsidRPr="002F6A28" w:rsidRDefault="00E50D0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DEEC" w14:textId="77777777" w:rsidR="00E50D03" w:rsidRDefault="00E50D03">
      <w:r>
        <w:separator/>
      </w:r>
    </w:p>
  </w:footnote>
  <w:footnote w:type="continuationSeparator" w:id="0">
    <w:p w14:paraId="6E8F412B" w14:textId="77777777" w:rsidR="00E50D03" w:rsidRDefault="00E5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71EE" w14:textId="77777777" w:rsidR="009239F7" w:rsidRPr="002F6A28" w:rsidRDefault="00E50D03" w:rsidP="009239F7">
    <w:pPr>
      <w:pStyle w:val="Header"/>
      <w:pBdr>
        <w:bottom w:val="single" w:sz="4" w:space="1" w:color="auto"/>
      </w:pBdr>
      <w:tabs>
        <w:tab w:val="clear" w:pos="4513"/>
        <w:tab w:val="clear" w:pos="9027"/>
      </w:tabs>
      <w:jc w:val="center"/>
    </w:pPr>
    <w:r w:rsidRPr="002F6A28">
      <w:t>tbtSymbol</w:t>
    </w:r>
  </w:p>
  <w:p w14:paraId="2DF16E76" w14:textId="77777777" w:rsidR="009239F7" w:rsidRPr="002F6A28" w:rsidRDefault="009239F7" w:rsidP="009239F7">
    <w:pPr>
      <w:pStyle w:val="Header"/>
      <w:pBdr>
        <w:bottom w:val="single" w:sz="4" w:space="1" w:color="auto"/>
      </w:pBdr>
      <w:tabs>
        <w:tab w:val="clear" w:pos="4513"/>
        <w:tab w:val="clear" w:pos="9027"/>
      </w:tabs>
      <w:jc w:val="center"/>
    </w:pPr>
  </w:p>
  <w:p w14:paraId="222764C8" w14:textId="77777777" w:rsidR="009239F7" w:rsidRPr="002F6A28" w:rsidRDefault="00E50D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52242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6FA" w14:textId="77777777" w:rsidR="009239F7" w:rsidRPr="002F6A28" w:rsidRDefault="00E50D03" w:rsidP="009239F7">
    <w:pPr>
      <w:pStyle w:val="Header"/>
      <w:pBdr>
        <w:bottom w:val="single" w:sz="4" w:space="1" w:color="auto"/>
      </w:pBdr>
      <w:tabs>
        <w:tab w:val="clear" w:pos="4513"/>
        <w:tab w:val="clear" w:pos="9027"/>
      </w:tabs>
      <w:jc w:val="center"/>
    </w:pPr>
    <w:bookmarkStart w:id="0" w:name="spsSymbolHeader"/>
    <w:r w:rsidRPr="002F6A28">
      <w:t>G/TBT/N/PHL/337</w:t>
    </w:r>
    <w:bookmarkEnd w:id="0"/>
  </w:p>
  <w:p w14:paraId="1A4A7DCC" w14:textId="77777777" w:rsidR="009239F7" w:rsidRPr="002F6A28" w:rsidRDefault="009239F7" w:rsidP="009239F7">
    <w:pPr>
      <w:pStyle w:val="Header"/>
      <w:pBdr>
        <w:bottom w:val="single" w:sz="4" w:space="1" w:color="auto"/>
      </w:pBdr>
      <w:tabs>
        <w:tab w:val="clear" w:pos="4513"/>
        <w:tab w:val="clear" w:pos="9027"/>
      </w:tabs>
      <w:jc w:val="center"/>
    </w:pPr>
  </w:p>
  <w:p w14:paraId="36C8C0F2" w14:textId="77777777" w:rsidR="009239F7" w:rsidRPr="002F6A28" w:rsidRDefault="00E50D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9EC27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7046" w14:paraId="1A9E2854" w14:textId="77777777" w:rsidTr="008612A9">
      <w:trPr>
        <w:trHeight w:val="240"/>
        <w:jc w:val="center"/>
      </w:trPr>
      <w:tc>
        <w:tcPr>
          <w:tcW w:w="3794" w:type="dxa"/>
          <w:shd w:val="clear" w:color="auto" w:fill="FFFFFF"/>
          <w:tcMar>
            <w:left w:w="108" w:type="dxa"/>
            <w:right w:w="108" w:type="dxa"/>
          </w:tcMar>
          <w:vAlign w:val="center"/>
        </w:tcPr>
        <w:p w14:paraId="6D474805"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2A2CCF8" w14:textId="77777777" w:rsidR="00ED54E0" w:rsidRPr="009239F7" w:rsidRDefault="00ED54E0" w:rsidP="00B801E9">
          <w:pPr>
            <w:jc w:val="right"/>
            <w:rPr>
              <w:b/>
              <w:color w:val="FF0000"/>
              <w:szCs w:val="16"/>
            </w:rPr>
          </w:pPr>
        </w:p>
      </w:tc>
    </w:tr>
    <w:bookmarkEnd w:id="1"/>
    <w:tr w:rsidR="00787046" w14:paraId="5B96A9FA" w14:textId="77777777" w:rsidTr="008612A9">
      <w:trPr>
        <w:trHeight w:val="213"/>
        <w:jc w:val="center"/>
      </w:trPr>
      <w:tc>
        <w:tcPr>
          <w:tcW w:w="3794" w:type="dxa"/>
          <w:vMerge w:val="restart"/>
          <w:shd w:val="clear" w:color="auto" w:fill="FFFFFF"/>
          <w:tcMar>
            <w:left w:w="0" w:type="dxa"/>
            <w:right w:w="0" w:type="dxa"/>
          </w:tcMar>
        </w:tcPr>
        <w:p w14:paraId="407DD703" w14:textId="77777777" w:rsidR="00ED54E0" w:rsidRPr="009239F7" w:rsidRDefault="00E50D03" w:rsidP="00B801E9">
          <w:pPr>
            <w:jc w:val="left"/>
          </w:pPr>
          <w:r>
            <w:rPr>
              <w:noProof/>
              <w:lang w:eastAsia="en-GB"/>
            </w:rPr>
            <w:drawing>
              <wp:inline distT="0" distB="0" distL="0" distR="0" wp14:anchorId="577E26D0" wp14:editId="1DA3DC7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027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AE6648" w14:textId="77777777" w:rsidR="00ED54E0" w:rsidRPr="009239F7" w:rsidRDefault="00ED54E0" w:rsidP="00B801E9">
          <w:pPr>
            <w:jc w:val="right"/>
            <w:rPr>
              <w:b/>
              <w:szCs w:val="16"/>
            </w:rPr>
          </w:pPr>
        </w:p>
      </w:tc>
    </w:tr>
    <w:tr w:rsidR="00787046" w14:paraId="237567E3" w14:textId="77777777" w:rsidTr="008612A9">
      <w:trPr>
        <w:trHeight w:val="868"/>
        <w:jc w:val="center"/>
      </w:trPr>
      <w:tc>
        <w:tcPr>
          <w:tcW w:w="3794" w:type="dxa"/>
          <w:vMerge/>
          <w:shd w:val="clear" w:color="auto" w:fill="FFFFFF"/>
          <w:tcMar>
            <w:left w:w="108" w:type="dxa"/>
            <w:right w:w="108" w:type="dxa"/>
          </w:tcMar>
        </w:tcPr>
        <w:p w14:paraId="3E03C32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1624ECA" w14:textId="77777777" w:rsidR="009239F7" w:rsidRPr="002F6A28" w:rsidRDefault="00E50D03" w:rsidP="00B801E9">
          <w:pPr>
            <w:jc w:val="right"/>
            <w:rPr>
              <w:b/>
              <w:szCs w:val="16"/>
            </w:rPr>
          </w:pPr>
          <w:bookmarkStart w:id="2" w:name="bmkSymbols"/>
          <w:r w:rsidRPr="002F6A28">
            <w:rPr>
              <w:b/>
              <w:szCs w:val="16"/>
            </w:rPr>
            <w:t>G/TBT/N/PHL/337</w:t>
          </w:r>
          <w:bookmarkEnd w:id="2"/>
        </w:p>
      </w:tc>
    </w:tr>
    <w:tr w:rsidR="00787046" w14:paraId="49F8499F" w14:textId="77777777" w:rsidTr="008612A9">
      <w:trPr>
        <w:trHeight w:val="240"/>
        <w:jc w:val="center"/>
      </w:trPr>
      <w:tc>
        <w:tcPr>
          <w:tcW w:w="3794" w:type="dxa"/>
          <w:vMerge/>
          <w:shd w:val="clear" w:color="auto" w:fill="FFFFFF"/>
          <w:tcMar>
            <w:left w:w="108" w:type="dxa"/>
            <w:right w:w="108" w:type="dxa"/>
          </w:tcMar>
          <w:vAlign w:val="center"/>
        </w:tcPr>
        <w:p w14:paraId="6A1F3466" w14:textId="77777777" w:rsidR="00ED54E0" w:rsidRPr="009239F7" w:rsidRDefault="00ED54E0" w:rsidP="00B801E9"/>
      </w:tc>
      <w:tc>
        <w:tcPr>
          <w:tcW w:w="5448" w:type="dxa"/>
          <w:gridSpan w:val="2"/>
          <w:shd w:val="clear" w:color="auto" w:fill="FFFFFF"/>
          <w:tcMar>
            <w:left w:w="108" w:type="dxa"/>
            <w:right w:w="108" w:type="dxa"/>
          </w:tcMar>
          <w:vAlign w:val="center"/>
        </w:tcPr>
        <w:p w14:paraId="4A2A0B17" w14:textId="3865C868" w:rsidR="00ED54E0" w:rsidRPr="009239F7" w:rsidRDefault="005615E5" w:rsidP="00B801E9">
          <w:pPr>
            <w:jc w:val="right"/>
            <w:rPr>
              <w:szCs w:val="16"/>
            </w:rPr>
          </w:pPr>
          <w:bookmarkStart w:id="3" w:name="spsDateDistribution"/>
          <w:bookmarkStart w:id="4" w:name="bmkDate"/>
          <w:bookmarkEnd w:id="3"/>
          <w:bookmarkEnd w:id="4"/>
          <w:r>
            <w:rPr>
              <w:szCs w:val="16"/>
            </w:rPr>
            <w:t>14 October 2024</w:t>
          </w:r>
        </w:p>
      </w:tc>
    </w:tr>
    <w:tr w:rsidR="00787046" w14:paraId="4FB92F5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2D318D" w14:textId="46173F03" w:rsidR="00ED54E0" w:rsidRPr="009239F7" w:rsidRDefault="00E50D03" w:rsidP="0097650D">
          <w:pPr>
            <w:jc w:val="left"/>
            <w:rPr>
              <w:b/>
            </w:rPr>
          </w:pPr>
          <w:bookmarkStart w:id="5" w:name="bmkSerial"/>
          <w:r w:rsidRPr="002F6A28">
            <w:rPr>
              <w:color w:val="FF0000"/>
              <w:szCs w:val="16"/>
            </w:rPr>
            <w:t>(</w:t>
          </w:r>
          <w:bookmarkStart w:id="6" w:name="spsSerialNumber"/>
          <w:bookmarkEnd w:id="6"/>
          <w:r w:rsidR="005615E5">
            <w:rPr>
              <w:color w:val="FF0000"/>
              <w:szCs w:val="16"/>
            </w:rPr>
            <w:t>24-</w:t>
          </w:r>
          <w:r w:rsidR="00737841">
            <w:rPr>
              <w:color w:val="FF0000"/>
              <w:szCs w:val="16"/>
            </w:rPr>
            <w:t>7187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1D2D16E" w14:textId="77777777" w:rsidR="00ED54E0" w:rsidRPr="009239F7" w:rsidRDefault="00E50D0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87046" w14:paraId="72713CE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5925C6" w14:textId="77777777" w:rsidR="00ED54E0" w:rsidRPr="009239F7" w:rsidRDefault="00E50D0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D0ACD43" w14:textId="77777777" w:rsidR="00ED54E0" w:rsidRPr="002F6A28" w:rsidRDefault="00E50D0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D39971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32A368">
      <w:start w:val="1"/>
      <w:numFmt w:val="decimal"/>
      <w:pStyle w:val="SummaryText"/>
      <w:lvlText w:val="%1."/>
      <w:lvlJc w:val="left"/>
      <w:pPr>
        <w:ind w:left="360" w:hanging="360"/>
      </w:pPr>
    </w:lvl>
    <w:lvl w:ilvl="1" w:tplc="71FAE2AA" w:tentative="1">
      <w:start w:val="1"/>
      <w:numFmt w:val="lowerLetter"/>
      <w:lvlText w:val="%2."/>
      <w:lvlJc w:val="left"/>
      <w:pPr>
        <w:ind w:left="1080" w:hanging="360"/>
      </w:pPr>
    </w:lvl>
    <w:lvl w:ilvl="2" w:tplc="36A24902" w:tentative="1">
      <w:start w:val="1"/>
      <w:numFmt w:val="lowerRoman"/>
      <w:lvlText w:val="%3."/>
      <w:lvlJc w:val="right"/>
      <w:pPr>
        <w:ind w:left="1800" w:hanging="180"/>
      </w:pPr>
    </w:lvl>
    <w:lvl w:ilvl="3" w:tplc="3B325A1C" w:tentative="1">
      <w:start w:val="1"/>
      <w:numFmt w:val="decimal"/>
      <w:lvlText w:val="%4."/>
      <w:lvlJc w:val="left"/>
      <w:pPr>
        <w:ind w:left="2520" w:hanging="360"/>
      </w:pPr>
    </w:lvl>
    <w:lvl w:ilvl="4" w:tplc="4724A8A4" w:tentative="1">
      <w:start w:val="1"/>
      <w:numFmt w:val="lowerLetter"/>
      <w:lvlText w:val="%5."/>
      <w:lvlJc w:val="left"/>
      <w:pPr>
        <w:ind w:left="3240" w:hanging="360"/>
      </w:pPr>
    </w:lvl>
    <w:lvl w:ilvl="5" w:tplc="26328F44" w:tentative="1">
      <w:start w:val="1"/>
      <w:numFmt w:val="lowerRoman"/>
      <w:lvlText w:val="%6."/>
      <w:lvlJc w:val="right"/>
      <w:pPr>
        <w:ind w:left="3960" w:hanging="180"/>
      </w:pPr>
    </w:lvl>
    <w:lvl w:ilvl="6" w:tplc="89FCF618" w:tentative="1">
      <w:start w:val="1"/>
      <w:numFmt w:val="decimal"/>
      <w:lvlText w:val="%7."/>
      <w:lvlJc w:val="left"/>
      <w:pPr>
        <w:ind w:left="4680" w:hanging="360"/>
      </w:pPr>
    </w:lvl>
    <w:lvl w:ilvl="7" w:tplc="7BA29B46" w:tentative="1">
      <w:start w:val="1"/>
      <w:numFmt w:val="lowerLetter"/>
      <w:lvlText w:val="%8."/>
      <w:lvlJc w:val="left"/>
      <w:pPr>
        <w:ind w:left="5400" w:hanging="360"/>
      </w:pPr>
    </w:lvl>
    <w:lvl w:ilvl="8" w:tplc="4712F5E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59AED6E">
      <w:start w:val="1"/>
      <w:numFmt w:val="bullet"/>
      <w:lvlText w:val=""/>
      <w:lvlJc w:val="left"/>
      <w:pPr>
        <w:ind w:left="720" w:hanging="360"/>
      </w:pPr>
      <w:rPr>
        <w:rFonts w:ascii="Symbol" w:hAnsi="Symbol"/>
      </w:rPr>
    </w:lvl>
    <w:lvl w:ilvl="1" w:tplc="3C166AFA">
      <w:start w:val="1"/>
      <w:numFmt w:val="bullet"/>
      <w:lvlText w:val="o"/>
      <w:lvlJc w:val="left"/>
      <w:pPr>
        <w:tabs>
          <w:tab w:val="num" w:pos="1440"/>
        </w:tabs>
        <w:ind w:left="1440" w:hanging="360"/>
      </w:pPr>
      <w:rPr>
        <w:rFonts w:ascii="Courier New" w:hAnsi="Courier New"/>
      </w:rPr>
    </w:lvl>
    <w:lvl w:ilvl="2" w:tplc="7130CA42">
      <w:start w:val="1"/>
      <w:numFmt w:val="bullet"/>
      <w:lvlText w:val=""/>
      <w:lvlJc w:val="left"/>
      <w:pPr>
        <w:tabs>
          <w:tab w:val="num" w:pos="2160"/>
        </w:tabs>
        <w:ind w:left="2160" w:hanging="360"/>
      </w:pPr>
      <w:rPr>
        <w:rFonts w:ascii="Wingdings" w:hAnsi="Wingdings"/>
      </w:rPr>
    </w:lvl>
    <w:lvl w:ilvl="3" w:tplc="E8CC73AC">
      <w:start w:val="1"/>
      <w:numFmt w:val="bullet"/>
      <w:lvlText w:val=""/>
      <w:lvlJc w:val="left"/>
      <w:pPr>
        <w:tabs>
          <w:tab w:val="num" w:pos="2880"/>
        </w:tabs>
        <w:ind w:left="2880" w:hanging="360"/>
      </w:pPr>
      <w:rPr>
        <w:rFonts w:ascii="Symbol" w:hAnsi="Symbol"/>
      </w:rPr>
    </w:lvl>
    <w:lvl w:ilvl="4" w:tplc="00EEE738">
      <w:start w:val="1"/>
      <w:numFmt w:val="bullet"/>
      <w:lvlText w:val="o"/>
      <w:lvlJc w:val="left"/>
      <w:pPr>
        <w:tabs>
          <w:tab w:val="num" w:pos="3600"/>
        </w:tabs>
        <w:ind w:left="3600" w:hanging="360"/>
      </w:pPr>
      <w:rPr>
        <w:rFonts w:ascii="Courier New" w:hAnsi="Courier New"/>
      </w:rPr>
    </w:lvl>
    <w:lvl w:ilvl="5" w:tplc="CE285B80">
      <w:start w:val="1"/>
      <w:numFmt w:val="bullet"/>
      <w:lvlText w:val=""/>
      <w:lvlJc w:val="left"/>
      <w:pPr>
        <w:tabs>
          <w:tab w:val="num" w:pos="4320"/>
        </w:tabs>
        <w:ind w:left="4320" w:hanging="360"/>
      </w:pPr>
      <w:rPr>
        <w:rFonts w:ascii="Wingdings" w:hAnsi="Wingdings"/>
      </w:rPr>
    </w:lvl>
    <w:lvl w:ilvl="6" w:tplc="AD2E69F4">
      <w:start w:val="1"/>
      <w:numFmt w:val="bullet"/>
      <w:lvlText w:val=""/>
      <w:lvlJc w:val="left"/>
      <w:pPr>
        <w:tabs>
          <w:tab w:val="num" w:pos="5040"/>
        </w:tabs>
        <w:ind w:left="5040" w:hanging="360"/>
      </w:pPr>
      <w:rPr>
        <w:rFonts w:ascii="Symbol" w:hAnsi="Symbol"/>
      </w:rPr>
    </w:lvl>
    <w:lvl w:ilvl="7" w:tplc="380CB24E">
      <w:start w:val="1"/>
      <w:numFmt w:val="bullet"/>
      <w:lvlText w:val="o"/>
      <w:lvlJc w:val="left"/>
      <w:pPr>
        <w:tabs>
          <w:tab w:val="num" w:pos="5760"/>
        </w:tabs>
        <w:ind w:left="5760" w:hanging="360"/>
      </w:pPr>
      <w:rPr>
        <w:rFonts w:ascii="Courier New" w:hAnsi="Courier New"/>
      </w:rPr>
    </w:lvl>
    <w:lvl w:ilvl="8" w:tplc="EDACA930">
      <w:start w:val="1"/>
      <w:numFmt w:val="bullet"/>
      <w:lvlText w:val=""/>
      <w:lvlJc w:val="left"/>
      <w:pPr>
        <w:tabs>
          <w:tab w:val="num" w:pos="6480"/>
        </w:tabs>
        <w:ind w:left="6480" w:hanging="360"/>
      </w:pPr>
      <w:rPr>
        <w:rFonts w:ascii="Wingdings" w:hAnsi="Wingdings"/>
      </w:rPr>
    </w:lvl>
  </w:abstractNum>
  <w:num w:numId="1" w16cid:durableId="273290612">
    <w:abstractNumId w:val="9"/>
  </w:num>
  <w:num w:numId="2" w16cid:durableId="1624338833">
    <w:abstractNumId w:val="7"/>
  </w:num>
  <w:num w:numId="3" w16cid:durableId="295524613">
    <w:abstractNumId w:val="6"/>
  </w:num>
  <w:num w:numId="4" w16cid:durableId="504127299">
    <w:abstractNumId w:val="5"/>
  </w:num>
  <w:num w:numId="5" w16cid:durableId="1804927093">
    <w:abstractNumId w:val="4"/>
  </w:num>
  <w:num w:numId="6" w16cid:durableId="1349791454">
    <w:abstractNumId w:val="12"/>
  </w:num>
  <w:num w:numId="7" w16cid:durableId="1236671653">
    <w:abstractNumId w:val="11"/>
  </w:num>
  <w:num w:numId="8" w16cid:durableId="1202935840">
    <w:abstractNumId w:val="10"/>
  </w:num>
  <w:num w:numId="9" w16cid:durableId="1689477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507688">
    <w:abstractNumId w:val="13"/>
  </w:num>
  <w:num w:numId="11" w16cid:durableId="1140420842">
    <w:abstractNumId w:val="8"/>
  </w:num>
  <w:num w:numId="12" w16cid:durableId="572744682">
    <w:abstractNumId w:val="3"/>
  </w:num>
  <w:num w:numId="13" w16cid:durableId="2107604685">
    <w:abstractNumId w:val="2"/>
  </w:num>
  <w:num w:numId="14" w16cid:durableId="1171483823">
    <w:abstractNumId w:val="1"/>
  </w:num>
  <w:num w:numId="15" w16cid:durableId="1740789697">
    <w:abstractNumId w:val="0"/>
  </w:num>
  <w:num w:numId="16" w16cid:durableId="1774086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1AF3"/>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15E5"/>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37841"/>
    <w:rsid w:val="00745146"/>
    <w:rsid w:val="00756BA6"/>
    <w:rsid w:val="007577E3"/>
    <w:rsid w:val="00760DB3"/>
    <w:rsid w:val="007624E8"/>
    <w:rsid w:val="00787046"/>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77B69"/>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C7CC0"/>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866D0"/>
    <w:rsid w:val="00D9226C"/>
    <w:rsid w:val="00DA20BD"/>
    <w:rsid w:val="00DE50DB"/>
    <w:rsid w:val="00DF6AE1"/>
    <w:rsid w:val="00E147CB"/>
    <w:rsid w:val="00E20B42"/>
    <w:rsid w:val="00E25473"/>
    <w:rsid w:val="00E30FFD"/>
    <w:rsid w:val="00E40A6B"/>
    <w:rsid w:val="00E41A9A"/>
    <w:rsid w:val="00E46FD5"/>
    <w:rsid w:val="00E50D03"/>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E41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ph"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BPS.SMD@dti.gov.ph" TargetMode="External"/><Relationship Id="rId17" Type="http://schemas.openxmlformats.org/officeDocument/2006/relationships/hyperlink" Target="https://members.wto.org/crnattachments/2024/TBT/PHL/24_06810_00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da.gov.ph/90546-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S@dti.gov.p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ps.dti.gov.ph" TargetMode="External"/><Relationship Id="rId23" Type="http://schemas.openxmlformats.org/officeDocument/2006/relationships/footer" Target="footer3.xml"/><Relationship Id="rId10" Type="http://schemas.openxmlformats.org/officeDocument/2006/relationships/hyperlink" Target="mailto:cdrr.sds@fda.gov.ph"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cdrr.od@fda.gov.ph" TargetMode="External"/><Relationship Id="rId14" Type="http://schemas.openxmlformats.org/officeDocument/2006/relationships/hyperlink" Target="mailto:BPS@dti.gov.ph"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A45A-4859-43AE-9380-B815E63A8A4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603</Words>
  <Characters>3550</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2024-10-14T12:05:00Z</dcterms:created>
  <dcterms:modified xsi:type="dcterms:W3CDTF">2024-10-14T12:28:00Z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