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1324" w14:textId="77777777" w:rsidR="009239F7" w:rsidRPr="002F6A28" w:rsidRDefault="00CC010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A74490F" w14:textId="77777777" w:rsidR="009239F7" w:rsidRPr="002F6A28" w:rsidRDefault="00CC010F" w:rsidP="002F6A28">
      <w:pPr>
        <w:jc w:val="center"/>
      </w:pPr>
      <w:r w:rsidRPr="002F6A28">
        <w:t>The following notification is being circulated in accordance with Article 10.6</w:t>
      </w:r>
    </w:p>
    <w:p w14:paraId="6A239D6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C191B" w14:paraId="2AD1168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359D01B" w14:textId="77777777" w:rsidR="00F85C99" w:rsidRPr="002F6A28" w:rsidRDefault="00CC010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918049" w14:textId="77777777" w:rsidR="00F85C99" w:rsidRPr="002F6A28" w:rsidRDefault="00CC010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PHILIPPINES</w:t>
            </w:r>
            <w:bookmarkEnd w:id="1"/>
          </w:p>
          <w:p w14:paraId="03F360B1" w14:textId="77777777" w:rsidR="00F85C99" w:rsidRPr="002F6A28" w:rsidRDefault="00CC010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C191B" w14:paraId="136F79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B1E87" w14:textId="77777777" w:rsidR="00F85C99" w:rsidRPr="002F6A28" w:rsidRDefault="00CC010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EEBD2" w14:textId="77777777" w:rsidR="00F85C99" w:rsidRPr="002F6A28" w:rsidRDefault="00CC010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D99BBC5" w14:textId="77777777" w:rsidR="00EE3A11" w:rsidRPr="00C379C8" w:rsidRDefault="00CC010F" w:rsidP="00155128">
            <w:r w:rsidRPr="00C379C8">
              <w:t>PILAR MARILYN P. PAGAYUNAN</w:t>
            </w:r>
          </w:p>
          <w:p w14:paraId="5DC53E5F" w14:textId="77777777" w:rsidR="00EE3A11" w:rsidRPr="00C379C8" w:rsidRDefault="00CC010F" w:rsidP="00155128">
            <w:r w:rsidRPr="00C379C8">
              <w:t>Director IV</w:t>
            </w:r>
          </w:p>
          <w:p w14:paraId="72F69920" w14:textId="77777777" w:rsidR="00EE3A11" w:rsidRPr="00C379C8" w:rsidRDefault="00CC010F" w:rsidP="00155128">
            <w:r w:rsidRPr="00C379C8">
              <w:t>Center for Food Regulation and Research (CFRR)</w:t>
            </w:r>
          </w:p>
          <w:p w14:paraId="795D5FED" w14:textId="77777777" w:rsidR="00EE3A11" w:rsidRPr="00C379C8" w:rsidRDefault="00CC010F" w:rsidP="00155128">
            <w:r w:rsidRPr="00C379C8">
              <w:t>Food and Drug Administration</w:t>
            </w:r>
          </w:p>
          <w:p w14:paraId="0E35F851" w14:textId="77777777" w:rsidR="00EE3A11" w:rsidRPr="00C379C8" w:rsidRDefault="00CC010F" w:rsidP="00155128">
            <w:pPr>
              <w:spacing w:after="120"/>
            </w:pPr>
            <w:r w:rsidRPr="00C379C8">
              <w:t>DEPARTMENT OF HEALTH</w:t>
            </w:r>
            <w:bookmarkEnd w:id="5"/>
          </w:p>
          <w:p w14:paraId="47840096" w14:textId="77777777" w:rsidR="00F85C99" w:rsidRPr="002F6A28" w:rsidRDefault="00CC010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E174712" w14:textId="77777777" w:rsidR="00AC6C6E" w:rsidRPr="00C379C8" w:rsidRDefault="00CC010F" w:rsidP="00AA646C">
            <w:r w:rsidRPr="00C379C8">
              <w:t>PILAR MARILYN P. PAGAYUNAN</w:t>
            </w:r>
          </w:p>
          <w:p w14:paraId="4E0E4971" w14:textId="77777777" w:rsidR="00AC6C6E" w:rsidRPr="00C379C8" w:rsidRDefault="00CC010F" w:rsidP="00AA646C">
            <w:r w:rsidRPr="00C379C8">
              <w:t>Director IV</w:t>
            </w:r>
          </w:p>
          <w:p w14:paraId="15244DF8" w14:textId="77777777" w:rsidR="00AC6C6E" w:rsidRPr="00C379C8" w:rsidRDefault="00CC010F" w:rsidP="00AA646C">
            <w:r w:rsidRPr="00C379C8">
              <w:t>Center for Food Regulation and Research (CFRR)</w:t>
            </w:r>
          </w:p>
          <w:p w14:paraId="2CCFD55F" w14:textId="77777777" w:rsidR="00AC6C6E" w:rsidRPr="00C379C8" w:rsidRDefault="00CC010F" w:rsidP="00AA646C">
            <w:r w:rsidRPr="00C379C8">
              <w:t>Food and Drug Administration</w:t>
            </w:r>
          </w:p>
          <w:p w14:paraId="3C3972C8" w14:textId="77777777" w:rsidR="00AC6C6E" w:rsidRPr="00C379C8" w:rsidRDefault="00CC010F" w:rsidP="00AA646C">
            <w:r w:rsidRPr="00C379C8">
              <w:t>DEPARTMENT OF HEALTH</w:t>
            </w:r>
          </w:p>
          <w:p w14:paraId="02F53143" w14:textId="77777777" w:rsidR="00AC6C6E" w:rsidRPr="00C379C8" w:rsidRDefault="00CC010F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pmppagayunan2@fda.gov.ph</w:t>
              </w:r>
            </w:hyperlink>
            <w:r w:rsidRPr="00C379C8">
              <w:t xml:space="preserve">; </w:t>
            </w:r>
            <w:hyperlink r:id="rId8" w:history="1">
              <w:r w:rsidRPr="00C379C8">
                <w:rPr>
                  <w:color w:val="0000FF"/>
                  <w:u w:val="single"/>
                </w:rPr>
                <w:t>cfrr@fda.gov.ph</w:t>
              </w:r>
            </w:hyperlink>
            <w:r w:rsidRPr="00C379C8">
              <w:t xml:space="preserve">; </w:t>
            </w:r>
            <w:hyperlink r:id="rId9" w:history="1">
              <w:r w:rsidRPr="00C379C8">
                <w:rPr>
                  <w:color w:val="0000FF"/>
                  <w:u w:val="single"/>
                </w:rPr>
                <w:t>mvdpinion@fda.gov.ph</w:t>
              </w:r>
            </w:hyperlink>
            <w:r w:rsidRPr="00C379C8">
              <w:t xml:space="preserve">; </w:t>
            </w:r>
            <w:hyperlink r:id="rId10" w:history="1">
              <w:r w:rsidRPr="00C379C8">
                <w:rPr>
                  <w:color w:val="0000FF"/>
                  <w:u w:val="single"/>
                </w:rPr>
                <w:t>ccduller@fda.gov.ph</w:t>
              </w:r>
            </w:hyperlink>
            <w:bookmarkEnd w:id="7"/>
          </w:p>
        </w:tc>
      </w:tr>
      <w:tr w:rsidR="001C191B" w14:paraId="0E7612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9C3FE" w14:textId="77777777" w:rsidR="00F85C99" w:rsidRPr="002F6A28" w:rsidRDefault="00CC01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0BAAB" w14:textId="77777777" w:rsidR="00F85C99" w:rsidRPr="0058336F" w:rsidRDefault="00CC010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C191B" w14:paraId="53EC48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A030B" w14:textId="77777777" w:rsidR="00F85C99" w:rsidRPr="002F6A28" w:rsidRDefault="00CC010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3B7BB" w14:textId="77777777" w:rsidR="00F85C99" w:rsidRPr="002F6A28" w:rsidRDefault="00CC010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FOOD TECHNOLOGY (ICS code(s): 67) - Wines; Pre-packaged food </w:t>
            </w:r>
            <w:bookmarkEnd w:id="22"/>
          </w:p>
        </w:tc>
      </w:tr>
      <w:tr w:rsidR="001C191B" w14:paraId="1BC3E0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B8EE6" w14:textId="77777777" w:rsidR="00F85C99" w:rsidRPr="002F6A28" w:rsidRDefault="00CC010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5E6CC" w14:textId="77777777" w:rsidR="00F85C99" w:rsidRPr="002F6A28" w:rsidRDefault="00CC010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Repeal of FDA Circular (FC) No. 2014-022 entitled "Notification of Registered Imported Wines with New Vintage" and FC No. 2016- 007 entitled "Notification of Sources of Raw Materials, Low Risk, Medium Risk, and High Risk Prepackaged Processed Food Products"; (1 page(s), in English)</w:t>
            </w:r>
            <w:bookmarkEnd w:id="24"/>
          </w:p>
        </w:tc>
      </w:tr>
      <w:tr w:rsidR="001C191B" w14:paraId="234BB0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47D0D" w14:textId="77777777" w:rsidR="00F85C99" w:rsidRPr="002F6A28" w:rsidRDefault="00CC01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E26F4" w14:textId="77777777" w:rsidR="00F85C99" w:rsidRPr="002F6A28" w:rsidRDefault="00CC010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In the interest of service and to further clarify the requirements for registration of processed prepackaged food in accordance with FDA Circular No. 2020-033 entitled "Procedure for the Use of the Modified Electronic Registration System for Raw Materials and Prepackaged Processed Food Products Repealing FDA Circular (FC) No. 2016-014 "Procedure for the Use of Electronic Registration System for Prepackaged Processed Food Products"", the following issuances are hereby repealed:</w:t>
            </w:r>
          </w:p>
          <w:p w14:paraId="7EE92033" w14:textId="77777777" w:rsidR="00FE448B" w:rsidRPr="00C379C8" w:rsidRDefault="00CC010F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FC No. 2014-022 | Notification of Registered Imported Wines with New Vintage; and</w:t>
            </w:r>
          </w:p>
          <w:p w14:paraId="50854242" w14:textId="77777777" w:rsidR="00FE448B" w:rsidRPr="00C379C8" w:rsidRDefault="00CC010F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FC No. 2016-007 | Notification of Sources of Raw Materials, Low Risk, Medium Risk, and High Risk Prepackaged Processed Food Products.</w:t>
            </w:r>
            <w:bookmarkEnd w:id="26"/>
          </w:p>
        </w:tc>
      </w:tr>
      <w:tr w:rsidR="001C191B" w14:paraId="248585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CAC0D" w14:textId="77777777" w:rsidR="00F85C99" w:rsidRPr="002F6A28" w:rsidRDefault="00CC01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12857" w14:textId="77777777" w:rsidR="00F85C99" w:rsidRPr="002F6A28" w:rsidRDefault="00CC010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Cost saving and productivity enhancement</w:t>
            </w:r>
            <w:bookmarkEnd w:id="28"/>
          </w:p>
        </w:tc>
      </w:tr>
      <w:tr w:rsidR="001C191B" w14:paraId="19AB1C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2F8F4" w14:textId="77777777" w:rsidR="00F85C99" w:rsidRPr="002F6A28" w:rsidRDefault="00CC010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56F39" w14:textId="77777777" w:rsidR="00072B36" w:rsidRPr="002F6A28" w:rsidRDefault="00CC010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EB8BB98" w14:textId="77777777" w:rsidR="00F85C99" w:rsidRPr="002F6A28" w:rsidRDefault="00CC010F" w:rsidP="009E75ED">
            <w:pPr>
              <w:numPr>
                <w:ilvl w:val="0"/>
                <w:numId w:val="17"/>
              </w:numPr>
              <w:spacing w:before="120" w:after="120"/>
            </w:pPr>
            <w:bookmarkStart w:id="30" w:name="sps9a"/>
            <w:r w:rsidRPr="002F6A28">
              <w:t>FC No. 2014-022 | Notification of Registered Imported Wines with New Vintage</w:t>
            </w:r>
          </w:p>
          <w:p w14:paraId="0001808D" w14:textId="77777777" w:rsidR="00F85C99" w:rsidRPr="002F6A28" w:rsidRDefault="00CC010F" w:rsidP="009E75ED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FC No. 2016-007 | Notification of Sources of Raw Materials, Low Risk, Medium Risk, and High Risk Prepackaged Processed Food Products</w:t>
            </w:r>
          </w:p>
          <w:p w14:paraId="54AD5BE4" w14:textId="77777777" w:rsidR="00F85C99" w:rsidRPr="002F6A28" w:rsidRDefault="00CC010F" w:rsidP="009E75ED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FDA Circular No. 2020-033 entitled "Procedure for the Use of the Modified Electronic Registration System for Raw Materials and Prepackaged Processed Food Products Repealing FDA Circular (FC) No. 2016-014 "Procedure for the Use of Electronic Registration System for Prepackaged Processed Food Products"</w:t>
            </w:r>
            <w:bookmarkEnd w:id="30"/>
          </w:p>
        </w:tc>
      </w:tr>
      <w:tr w:rsidR="001C191B" w14:paraId="192FDF4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8F7C8" w14:textId="77777777" w:rsidR="00EE3A11" w:rsidRPr="002F6A28" w:rsidRDefault="00CC01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696A3" w14:textId="77777777" w:rsidR="00EE3A11" w:rsidRPr="002F6A28" w:rsidRDefault="00CC010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3FDC307" w14:textId="77777777" w:rsidR="00EE3A11" w:rsidRPr="002F6A28" w:rsidRDefault="00CC010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C191B" w14:paraId="22941A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46FD1" w14:textId="77777777" w:rsidR="00F85C99" w:rsidRPr="002F6A28" w:rsidRDefault="00CC010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28F66" w14:textId="77777777" w:rsidR="00F85C99" w:rsidRPr="002F6A28" w:rsidRDefault="00CC010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26 May 2022</w:t>
            </w:r>
            <w:bookmarkEnd w:id="38"/>
          </w:p>
        </w:tc>
      </w:tr>
      <w:tr w:rsidR="001C191B" w14:paraId="397FC9A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6BC9C7E" w14:textId="77777777" w:rsidR="00F85C99" w:rsidRPr="002F6A28" w:rsidRDefault="00CC010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CCC6272" w14:textId="77777777" w:rsidR="00F85C99" w:rsidRPr="002F6A28" w:rsidRDefault="00CC010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7E96CA2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Neil P. Catajay</w:t>
            </w:r>
          </w:p>
          <w:p w14:paraId="10F945B1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</w:t>
            </w:r>
          </w:p>
          <w:p w14:paraId="45F34BAD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Philippine Standards</w:t>
            </w:r>
          </w:p>
          <w:p w14:paraId="21AB046A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Industry</w:t>
            </w:r>
          </w:p>
          <w:p w14:paraId="38D524CF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3F Trade and Industry Building</w:t>
            </w:r>
          </w:p>
          <w:p w14:paraId="63F1EBEB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361 Sen. Gil Puyat Avenue</w:t>
            </w:r>
          </w:p>
          <w:p w14:paraId="52F48497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Makati City, Philippines</w:t>
            </w:r>
          </w:p>
          <w:p w14:paraId="098F761E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(632) 751 4700; (632) 7913128</w:t>
            </w:r>
          </w:p>
          <w:p w14:paraId="5FB30788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bps@dti.gov.ph</w:t>
              </w:r>
            </w:hyperlink>
          </w:p>
          <w:p w14:paraId="7234D3CE" w14:textId="77777777" w:rsidR="00EE3A11" w:rsidRPr="00A12DDE" w:rsidRDefault="00CC010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http://www.bps.dti.gov.ph</w:t>
              </w:r>
            </w:hyperlink>
          </w:p>
          <w:p w14:paraId="6FAE7926" w14:textId="77777777" w:rsidR="00EE3A11" w:rsidRPr="00A12DDE" w:rsidRDefault="007A3383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3" w:tgtFrame="_blank" w:history="1">
              <w:r w:rsidR="00CC010F" w:rsidRPr="00A12DDE">
                <w:rPr>
                  <w:bCs/>
                  <w:color w:val="0000FF"/>
                  <w:u w:val="single"/>
                </w:rPr>
                <w:t>https://members.wto.org/crnattachments/2022/TBT/PHL/22_3447_00_e.pdf</w:t>
              </w:r>
            </w:hyperlink>
          </w:p>
          <w:p w14:paraId="136A95A0" w14:textId="77777777" w:rsidR="00EE3A11" w:rsidRPr="00A12DDE" w:rsidRDefault="007A3383" w:rsidP="00B16145">
            <w:pPr>
              <w:keepNext/>
              <w:keepLines/>
              <w:rPr>
                <w:bCs/>
              </w:rPr>
            </w:pPr>
            <w:hyperlink r:id="rId14" w:tgtFrame="_blank" w:history="1">
              <w:r w:rsidR="00CC010F" w:rsidRPr="00A12DDE">
                <w:rPr>
                  <w:bCs/>
                  <w:color w:val="0000FF"/>
                  <w:u w:val="single"/>
                </w:rPr>
                <w:t>https://members.wto.org/crnattachments/2022/TBT/PHL/22_3447_01_e.pdf</w:t>
              </w:r>
            </w:hyperlink>
          </w:p>
          <w:p w14:paraId="7AFAE779" w14:textId="77777777" w:rsidR="00EE3A11" w:rsidRPr="00A12DDE" w:rsidRDefault="007A3383" w:rsidP="00B16145">
            <w:pPr>
              <w:keepNext/>
              <w:keepLines/>
              <w:rPr>
                <w:bCs/>
              </w:rPr>
            </w:pPr>
            <w:hyperlink r:id="rId15" w:tgtFrame="_blank" w:history="1">
              <w:r w:rsidR="00CC010F" w:rsidRPr="00A12DDE">
                <w:rPr>
                  <w:bCs/>
                  <w:color w:val="0000FF"/>
                  <w:u w:val="single"/>
                </w:rPr>
                <w:t>https://members.wto.org/crnattachments/2022/TBT/PHL/22_3447_02_e.pdf</w:t>
              </w:r>
            </w:hyperlink>
          </w:p>
          <w:p w14:paraId="068F10AF" w14:textId="77777777" w:rsidR="00EE3A11" w:rsidRPr="00A12DDE" w:rsidRDefault="007A3383" w:rsidP="00B16145">
            <w:pPr>
              <w:keepNext/>
              <w:keepLines/>
              <w:spacing w:after="120"/>
              <w:rPr>
                <w:bCs/>
              </w:rPr>
            </w:pPr>
            <w:hyperlink r:id="rId16" w:tgtFrame="_blank" w:history="1">
              <w:r w:rsidR="00CC010F" w:rsidRPr="00A12DDE">
                <w:rPr>
                  <w:bCs/>
                  <w:color w:val="0000FF"/>
                  <w:u w:val="single"/>
                </w:rPr>
                <w:t>https://members.wto.org/crnattachments/2022/TBT/PHL/22_3447_03_e.pdf</w:t>
              </w:r>
            </w:hyperlink>
            <w:bookmarkEnd w:id="42"/>
          </w:p>
        </w:tc>
      </w:tr>
    </w:tbl>
    <w:p w14:paraId="766757AA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E28E" w14:textId="77777777" w:rsidR="0063127F" w:rsidRDefault="00CC010F">
      <w:r>
        <w:separator/>
      </w:r>
    </w:p>
  </w:endnote>
  <w:endnote w:type="continuationSeparator" w:id="0">
    <w:p w14:paraId="776689E8" w14:textId="77777777" w:rsidR="0063127F" w:rsidRDefault="00CC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251E" w14:textId="77777777" w:rsidR="009239F7" w:rsidRPr="002F6A28" w:rsidRDefault="00CC010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90F6" w14:textId="77777777" w:rsidR="009239F7" w:rsidRPr="002F6A28" w:rsidRDefault="00CC010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2FBA" w14:textId="77777777" w:rsidR="00EE3A11" w:rsidRPr="002F6A28" w:rsidRDefault="00CC010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12B6" w14:textId="77777777" w:rsidR="0063127F" w:rsidRDefault="00CC010F">
      <w:r>
        <w:separator/>
      </w:r>
    </w:p>
  </w:footnote>
  <w:footnote w:type="continuationSeparator" w:id="0">
    <w:p w14:paraId="305E1740" w14:textId="77777777" w:rsidR="0063127F" w:rsidRDefault="00CC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0247" w14:textId="77777777" w:rsidR="009239F7" w:rsidRPr="002F6A28" w:rsidRDefault="00CC010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4063D4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68A9D3" w14:textId="77777777" w:rsidR="009239F7" w:rsidRPr="002F6A28" w:rsidRDefault="00CC010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47DAD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00A2" w14:textId="77777777" w:rsidR="009239F7" w:rsidRPr="002F6A28" w:rsidRDefault="00CC010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G/TBT/N/PHL/288</w:t>
    </w:r>
    <w:bookmarkEnd w:id="43"/>
  </w:p>
  <w:p w14:paraId="100A081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E62264" w14:textId="77777777" w:rsidR="009239F7" w:rsidRPr="002F6A28" w:rsidRDefault="00CC010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C238B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191B" w14:paraId="0D9169C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8B383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F7D41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C191B" w14:paraId="341D369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93B9D5" w14:textId="77777777" w:rsidR="00ED54E0" w:rsidRPr="009239F7" w:rsidRDefault="00CC010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631065" wp14:editId="0E78DEB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5810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4CDF3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C191B" w14:paraId="0CAA419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C3723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0115B2" w14:textId="77777777" w:rsidR="009239F7" w:rsidRPr="002F6A28" w:rsidRDefault="00CC010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G/TBT/N/PHL/288</w:t>
          </w:r>
          <w:bookmarkEnd w:id="45"/>
        </w:p>
      </w:tc>
    </w:tr>
    <w:tr w:rsidR="001C191B" w14:paraId="1B6CCFC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A2A48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8EC01C" w14:textId="60943EEF" w:rsidR="00ED54E0" w:rsidRPr="009239F7" w:rsidRDefault="00CC010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17 May 2022</w:t>
          </w:r>
        </w:p>
      </w:tc>
    </w:tr>
    <w:tr w:rsidR="001C191B" w14:paraId="4E1039C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6B1A4C" w14:textId="5BB3BB68" w:rsidR="00ED54E0" w:rsidRPr="009239F7" w:rsidRDefault="00CC010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A3383">
            <w:rPr>
              <w:color w:val="FF0000"/>
              <w:szCs w:val="16"/>
            </w:rPr>
            <w:t>3807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DCA0C2" w14:textId="77777777" w:rsidR="00ED54E0" w:rsidRPr="009239F7" w:rsidRDefault="00CC010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C191B" w14:paraId="075EC00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8622BF" w14:textId="77777777" w:rsidR="00ED54E0" w:rsidRPr="009239F7" w:rsidRDefault="00CC010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EFD8D9" w14:textId="77777777" w:rsidR="00ED54E0" w:rsidRPr="002F6A28" w:rsidRDefault="00CC010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8FA3D3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6C6D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C80FA2" w:tentative="1">
      <w:start w:val="1"/>
      <w:numFmt w:val="lowerLetter"/>
      <w:lvlText w:val="%2."/>
      <w:lvlJc w:val="left"/>
      <w:pPr>
        <w:ind w:left="1080" w:hanging="360"/>
      </w:pPr>
    </w:lvl>
    <w:lvl w:ilvl="2" w:tplc="0D20D080" w:tentative="1">
      <w:start w:val="1"/>
      <w:numFmt w:val="lowerRoman"/>
      <w:lvlText w:val="%3."/>
      <w:lvlJc w:val="right"/>
      <w:pPr>
        <w:ind w:left="1800" w:hanging="180"/>
      </w:pPr>
    </w:lvl>
    <w:lvl w:ilvl="3" w:tplc="4B6822C2" w:tentative="1">
      <w:start w:val="1"/>
      <w:numFmt w:val="decimal"/>
      <w:lvlText w:val="%4."/>
      <w:lvlJc w:val="left"/>
      <w:pPr>
        <w:ind w:left="2520" w:hanging="360"/>
      </w:pPr>
    </w:lvl>
    <w:lvl w:ilvl="4" w:tplc="AF5E4D36" w:tentative="1">
      <w:start w:val="1"/>
      <w:numFmt w:val="lowerLetter"/>
      <w:lvlText w:val="%5."/>
      <w:lvlJc w:val="left"/>
      <w:pPr>
        <w:ind w:left="3240" w:hanging="360"/>
      </w:pPr>
    </w:lvl>
    <w:lvl w:ilvl="5" w:tplc="9806994E" w:tentative="1">
      <w:start w:val="1"/>
      <w:numFmt w:val="lowerRoman"/>
      <w:lvlText w:val="%6."/>
      <w:lvlJc w:val="right"/>
      <w:pPr>
        <w:ind w:left="3960" w:hanging="180"/>
      </w:pPr>
    </w:lvl>
    <w:lvl w:ilvl="6" w:tplc="B51C946E" w:tentative="1">
      <w:start w:val="1"/>
      <w:numFmt w:val="decimal"/>
      <w:lvlText w:val="%7."/>
      <w:lvlJc w:val="left"/>
      <w:pPr>
        <w:ind w:left="4680" w:hanging="360"/>
      </w:pPr>
    </w:lvl>
    <w:lvl w:ilvl="7" w:tplc="B1E2D572" w:tentative="1">
      <w:start w:val="1"/>
      <w:numFmt w:val="lowerLetter"/>
      <w:lvlText w:val="%8."/>
      <w:lvlJc w:val="left"/>
      <w:pPr>
        <w:ind w:left="5400" w:hanging="360"/>
      </w:pPr>
    </w:lvl>
    <w:lvl w:ilvl="8" w:tplc="2D265E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58E9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191B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127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33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10F"/>
    <w:rsid w:val="00CC0FAD"/>
    <w:rsid w:val="00CC3256"/>
    <w:rsid w:val="00CD7D97"/>
    <w:rsid w:val="00CE3753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E8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rr@fda.gov.ph" TargetMode="External"/><Relationship Id="rId13" Type="http://schemas.openxmlformats.org/officeDocument/2006/relationships/hyperlink" Target="https://members.wto.org/crnattachments/2022/TBT/PHL/22_3447_00_e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pmppagayunan2@fda.gov.ph" TargetMode="External"/><Relationship Id="rId12" Type="http://schemas.openxmlformats.org/officeDocument/2006/relationships/hyperlink" Target="http://www.bps.dti.gov.p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embers.wto.org/crnattachments/2022/TBT/PHL/22_3447_03_e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ps@dti.gov.p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mbers.wto.org/crnattachments/2022/TBT/PHL/22_3447_02_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cduller@fda.gov.p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vdpinion@fda.gov.ph" TargetMode="External"/><Relationship Id="rId14" Type="http://schemas.openxmlformats.org/officeDocument/2006/relationships/hyperlink" Target="https://members.wto.org/crnattachments/2022/TBT/PHL/22_3447_01_e.pdf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2022-05-17T08:33:00Z</dcterms:created>
  <dcterms:modified xsi:type="dcterms:W3CDTF">2022-05-17T08:38:00Z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