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714C" w14:textId="77777777" w:rsidR="009239F7" w:rsidRPr="002F6A28" w:rsidRDefault="00B028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4C4787" w14:textId="77777777" w:rsidR="009239F7" w:rsidRPr="002F6A28" w:rsidRDefault="00B02870" w:rsidP="002F6A28">
      <w:pPr>
        <w:jc w:val="center"/>
      </w:pPr>
      <w:r w:rsidRPr="002F6A28">
        <w:t>The following notification is being circulated in accordance with Article 10.6</w:t>
      </w:r>
    </w:p>
    <w:p w14:paraId="6360D47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33615" w14:paraId="6A3F241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4C4C66F" w14:textId="77777777" w:rsidR="00F85C99" w:rsidRPr="002F6A28" w:rsidRDefault="00B02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BFD4FF0" w14:textId="77777777" w:rsidR="00F85C99" w:rsidRPr="002F6A28" w:rsidRDefault="00B028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Philippines</w:t>
            </w:r>
            <w:bookmarkEnd w:id="1"/>
            <w:r w:rsidRPr="002F6A28">
              <w:t xml:space="preserve"> </w:t>
            </w:r>
          </w:p>
          <w:p w14:paraId="1FF08C32" w14:textId="77777777" w:rsidR="00F85C99" w:rsidRPr="002F6A28" w:rsidRDefault="00B028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33615" w14:paraId="4998AB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97775" w14:textId="77777777" w:rsidR="00F85C99" w:rsidRPr="002F6A28" w:rsidRDefault="00B02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86DD6" w14:textId="77777777" w:rsidR="00F85C99" w:rsidRPr="002F6A28" w:rsidRDefault="00B028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7AA9CA1" w14:textId="77777777" w:rsidR="006F5C89" w:rsidRPr="002F6A28" w:rsidRDefault="00B02870" w:rsidP="00155128">
            <w:pPr>
              <w:spacing w:before="120" w:after="120"/>
              <w:jc w:val="left"/>
            </w:pPr>
            <w:r w:rsidRPr="002F6A28">
              <w:t>DR OSCAR G. GUTIERREZ, JR., MPA</w:t>
            </w:r>
            <w:r w:rsidRPr="002F6A28">
              <w:br/>
              <w:t>Officer-in-Charge Director General</w:t>
            </w:r>
            <w:r w:rsidRPr="002F6A28">
              <w:br/>
              <w:t>Food and Drug Administration</w:t>
            </w:r>
            <w:r w:rsidRPr="002F6A28">
              <w:br/>
              <w:t>DEPARTMENT OF HEALTH</w:t>
            </w:r>
            <w:bookmarkEnd w:id="5"/>
          </w:p>
          <w:p w14:paraId="6747D049" w14:textId="77777777" w:rsidR="00F85C99" w:rsidRPr="002F6A28" w:rsidRDefault="00B028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90E6DD7" w14:textId="77777777" w:rsidR="006F5C89" w:rsidRPr="002F6A28" w:rsidRDefault="00B02870" w:rsidP="00AA646C">
            <w:pPr>
              <w:spacing w:after="120"/>
              <w:jc w:val="left"/>
            </w:pPr>
            <w:r w:rsidRPr="002F6A28">
              <w:t>MARIA CECILIA C. MATIENZO</w:t>
            </w:r>
            <w:r w:rsidRPr="002F6A28">
              <w:br/>
              <w:t>Director IV</w:t>
            </w:r>
            <w:r w:rsidRPr="002F6A28">
              <w:br/>
              <w:t>Center for Device Regulation Radiation Health, and Research</w:t>
            </w:r>
            <w:r w:rsidRPr="002F6A28">
              <w:br/>
              <w:t>Food and Drug Administration</w:t>
            </w:r>
            <w:r w:rsidRPr="002F6A28">
              <w:br/>
              <w:t>DEPARTMENT OF HEALTH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mccmatienzo@fda.gov.ph</w:t>
              </w:r>
            </w:hyperlink>
            <w:r w:rsidRPr="002F6A28">
              <w:t xml:space="preserve">; </w:t>
            </w:r>
            <w:hyperlink r:id="rId8" w:history="1">
              <w:r w:rsidRPr="002F6A28">
                <w:rPr>
                  <w:color w:val="0000FF"/>
                  <w:u w:val="single"/>
                </w:rPr>
                <w:t>cdrrhr-prsdd@fda.gov.ph</w:t>
              </w:r>
            </w:hyperlink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www.fda.gov.ph</w:t>
              </w:r>
            </w:hyperlink>
            <w:bookmarkEnd w:id="7"/>
          </w:p>
        </w:tc>
      </w:tr>
      <w:tr w:rsidR="00433615" w14:paraId="6041D3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6F6AF" w14:textId="77777777" w:rsidR="00F85C99" w:rsidRPr="002F6A28" w:rsidRDefault="00B02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2541E" w14:textId="77777777" w:rsidR="00F85C99" w:rsidRPr="0058336F" w:rsidRDefault="00B028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33615" w14:paraId="0B22A9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52B5A" w14:textId="77777777" w:rsidR="00F85C99" w:rsidRPr="002F6A28" w:rsidRDefault="00B02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CFF80" w14:textId="77777777" w:rsidR="00F85C99" w:rsidRPr="002F6A28" w:rsidRDefault="00B0287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In-Vitro Diagnostic Medical Devices (ICS:11.100.10)</w:t>
            </w:r>
            <w:bookmarkStart w:id="20" w:name="sps3a"/>
            <w:bookmarkEnd w:id="20"/>
          </w:p>
        </w:tc>
      </w:tr>
      <w:tr w:rsidR="00433615" w14:paraId="1412C6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37DE6" w14:textId="77777777" w:rsidR="00F85C99" w:rsidRPr="002F6A28" w:rsidRDefault="00B02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1BA3F" w14:textId="77777777" w:rsidR="00F85C99" w:rsidRPr="002F6A28" w:rsidRDefault="00B0287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FDA Circular entitled "Specific List of Registrable In Vitro Diagnostic Medical Devices (IVDs) and Revised Technical Requirements for Registration of COVID-19 Test Kits" (10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33615" w14:paraId="4F5A6F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AA365" w14:textId="77777777" w:rsidR="00F85C99" w:rsidRPr="002F6A28" w:rsidRDefault="00B02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B272B" w14:textId="77777777" w:rsidR="00F85C99" w:rsidRPr="002F6A28" w:rsidRDefault="00B028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FDA Circular aims to a) provide the specific list of the different registrable IVDs based on the capacity of FDA-Common Services Laboratory and National Reference Laboratories; and b) provide guidelines on the transition from the issuance of Special Certification to Certificate of Product Registration for COVID-19 test kits and on the revised technical requirements for the registration of COVID-19 test kit products.</w:t>
            </w:r>
          </w:p>
        </w:tc>
      </w:tr>
      <w:tr w:rsidR="00433615" w14:paraId="04BA48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12AB2" w14:textId="77777777" w:rsidR="00F85C99" w:rsidRPr="002F6A28" w:rsidRDefault="00B02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FCBCD" w14:textId="77777777" w:rsidR="00F85C99" w:rsidRPr="002F6A28" w:rsidRDefault="00B0287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433615" w14:paraId="4FA1F8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96A58" w14:textId="77777777" w:rsidR="00F85C99" w:rsidRPr="002F6A28" w:rsidRDefault="00B02870" w:rsidP="00B02870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1B70B" w14:textId="77777777" w:rsidR="00072B36" w:rsidRPr="002F6A28" w:rsidRDefault="00B0287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97EB40" w14:textId="77777777" w:rsidR="006F5C89" w:rsidRPr="002F6A28" w:rsidRDefault="00B028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Republic Act No. 9711 and its Implementing Rules and Regulations</w:t>
            </w:r>
          </w:p>
          <w:p w14:paraId="5828D050" w14:textId="77777777" w:rsidR="006F5C89" w:rsidRPr="002F6A28" w:rsidRDefault="00B028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ASEAN Medical Device Directive (AMDD)</w:t>
            </w:r>
          </w:p>
          <w:p w14:paraId="30CC73A4" w14:textId="77777777" w:rsidR="006F5C89" w:rsidRPr="002F6A28" w:rsidRDefault="00B028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FDA Memorandum Circular No. 2014-005 "Updated List of Medical Devices required to be registered prior to sale, distribution and use"</w:t>
            </w:r>
          </w:p>
          <w:p w14:paraId="2E7D279B" w14:textId="77777777" w:rsidR="006F5C89" w:rsidRPr="002F6A28" w:rsidRDefault="00B028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FDA Memorandum (FM) No. 2020-006 "Issuance of Special Certification for Imported Test Kits of COVID-19"</w:t>
            </w:r>
          </w:p>
          <w:p w14:paraId="126534A9" w14:textId="77777777" w:rsidR="006F5C89" w:rsidRPr="002F6A28" w:rsidRDefault="00B0287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FDA Memorandum No. 2021-009 "Minimum Performance Requirements for COVID-19 Test Kits Used for SARS-CoV-2 Infection"</w:t>
            </w:r>
          </w:p>
        </w:tc>
      </w:tr>
      <w:tr w:rsidR="00433615" w14:paraId="395EBC4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A4705" w14:textId="77777777" w:rsidR="00EE3A11" w:rsidRPr="002F6A28" w:rsidRDefault="00B02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34AF4" w14:textId="77777777" w:rsidR="00EE3A11" w:rsidRPr="002F6A28" w:rsidRDefault="00B0287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 xml:space="preserve">This Circular shall take effect fifteen (15) days following its publication in a newspaper of general circulation and upon filing three (3) certified true copies with the University of the Philippines Law Center – Office of the National Administrative Register. </w:t>
            </w:r>
            <w:bookmarkEnd w:id="31"/>
          </w:p>
          <w:p w14:paraId="492F5F10" w14:textId="77777777" w:rsidR="00EE3A11" w:rsidRPr="002F6A28" w:rsidRDefault="00B0287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This Circular shall take effect fifteen (15) days following its publication in a newspaper of general circulation and upon filing three (3) certified true copies with the University of the Philippines Law Center – Office of the National Administrative Register. </w:t>
            </w:r>
            <w:bookmarkEnd w:id="34"/>
          </w:p>
        </w:tc>
      </w:tr>
      <w:tr w:rsidR="00433615" w14:paraId="2867DF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9FD56" w14:textId="77777777" w:rsidR="00F85C99" w:rsidRPr="002F6A28" w:rsidRDefault="00B02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8844A" w14:textId="77777777" w:rsidR="00F85C99" w:rsidRPr="002F6A28" w:rsidRDefault="00B0287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4 March 2022</w:t>
            </w:r>
            <w:bookmarkStart w:id="36" w:name="sps12a"/>
            <w:bookmarkEnd w:id="36"/>
          </w:p>
        </w:tc>
      </w:tr>
      <w:tr w:rsidR="00433615" w14:paraId="690AE01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3FAFEAD" w14:textId="77777777" w:rsidR="00F85C99" w:rsidRPr="002F6A28" w:rsidRDefault="00B028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090EDC" w14:textId="77777777" w:rsidR="00F85C99" w:rsidRPr="002F6A28" w:rsidRDefault="00B0287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98BE9DC" w14:textId="77777777" w:rsidR="006F5C89" w:rsidRPr="002F6A28" w:rsidRDefault="00B02870" w:rsidP="00B16145">
            <w:pPr>
              <w:keepNext/>
              <w:keepLines/>
              <w:spacing w:before="120" w:after="120"/>
              <w:jc w:val="left"/>
            </w:pPr>
            <w:r w:rsidRPr="002F6A28">
              <w:t>MR. NEIL P. CATAJAY</w:t>
            </w:r>
            <w:r w:rsidRPr="002F6A28">
              <w:br/>
              <w:t>Director</w:t>
            </w:r>
            <w:r w:rsidRPr="002F6A28">
              <w:br/>
              <w:t>Bureau of Philippine Standards</w:t>
            </w:r>
            <w:r w:rsidRPr="002F6A28">
              <w:br/>
              <w:t>Department of Trade and Industry</w:t>
            </w:r>
            <w:r w:rsidRPr="002F6A28">
              <w:br/>
              <w:t>3F Trade and Industry Building</w:t>
            </w:r>
            <w:r w:rsidRPr="002F6A28">
              <w:br/>
              <w:t>361 Sen. Gil Puyat Avenue</w:t>
            </w:r>
            <w:r w:rsidRPr="002F6A28">
              <w:br/>
              <w:t xml:space="preserve">Makati City, Philippines 1200 </w:t>
            </w:r>
            <w:r w:rsidRPr="002F6A28">
              <w:br/>
              <w:t>(632) 7751 4700; (632) 7751 4706</w:t>
            </w:r>
            <w:r w:rsidRPr="002F6A28">
              <w:br/>
              <w:t xml:space="preserve">Email: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bps@dti.gov.ph</w:t>
              </w:r>
            </w:hyperlink>
            <w:r w:rsidRPr="002F6A28">
              <w:t xml:space="preserve"> </w:t>
            </w:r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http://www.bps.dti.gov.ph</w:t>
              </w:r>
            </w:hyperlink>
            <w:r w:rsidRPr="002F6A28">
              <w:br/>
            </w:r>
          </w:p>
          <w:p w14:paraId="679771E3" w14:textId="77777777" w:rsidR="00FE2459" w:rsidRDefault="00955024" w:rsidP="00B16145">
            <w:pPr>
              <w:keepNext/>
              <w:keepLines/>
              <w:spacing w:before="120" w:after="120"/>
              <w:jc w:val="left"/>
            </w:pPr>
            <w:hyperlink r:id="rId12" w:history="1">
              <w:r w:rsidR="00B02870" w:rsidRPr="002F6A28">
                <w:rPr>
                  <w:color w:val="0000FF"/>
                  <w:u w:val="single"/>
                </w:rPr>
                <w:t>https://www.fda.gov.ph/wp-content/uploads/2022/02/Specific-List-of-Registrable-In-Vitro-Diagnostic-Medical-Devices-IVDs-and-Revis.pdf</w:t>
              </w:r>
            </w:hyperlink>
          </w:p>
          <w:p w14:paraId="37F910EB" w14:textId="77777777" w:rsidR="006F5C89" w:rsidRPr="002F6A28" w:rsidRDefault="00955024" w:rsidP="00B16145">
            <w:pPr>
              <w:keepNext/>
              <w:keepLines/>
              <w:spacing w:before="120" w:after="120"/>
              <w:jc w:val="left"/>
            </w:pPr>
            <w:hyperlink r:id="rId13" w:history="1">
              <w:r w:rsidR="00B02870" w:rsidRPr="002F6A28">
                <w:rPr>
                  <w:color w:val="0000FF"/>
                  <w:u w:val="single"/>
                </w:rPr>
                <w:t>https://members.wto.org/crnattachments/2022/TBT/PHL/22_1544_00_e.pdf</w:t>
              </w:r>
            </w:hyperlink>
            <w:bookmarkEnd w:id="40"/>
          </w:p>
        </w:tc>
      </w:tr>
    </w:tbl>
    <w:p w14:paraId="6143883A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0E19" w14:textId="77777777" w:rsidR="00DA5FD0" w:rsidRDefault="00B02870">
      <w:r>
        <w:separator/>
      </w:r>
    </w:p>
  </w:endnote>
  <w:endnote w:type="continuationSeparator" w:id="0">
    <w:p w14:paraId="1ADD57CA" w14:textId="77777777" w:rsidR="00DA5FD0" w:rsidRDefault="00B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5D76" w14:textId="77777777" w:rsidR="009239F7" w:rsidRPr="002F6A28" w:rsidRDefault="00B0287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AF6D" w14:textId="77777777" w:rsidR="009239F7" w:rsidRPr="002F6A28" w:rsidRDefault="00B0287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0A4D" w14:textId="77777777" w:rsidR="00EE3A11" w:rsidRPr="002F6A28" w:rsidRDefault="00B028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09E9" w14:textId="77777777" w:rsidR="00DA5FD0" w:rsidRDefault="00B02870">
      <w:r>
        <w:separator/>
      </w:r>
    </w:p>
  </w:footnote>
  <w:footnote w:type="continuationSeparator" w:id="0">
    <w:p w14:paraId="31264753" w14:textId="77777777" w:rsidR="00DA5FD0" w:rsidRDefault="00B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50C" w14:textId="77777777" w:rsidR="009239F7" w:rsidRPr="002F6A28" w:rsidRDefault="00B02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4512B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F7BA15" w14:textId="77777777" w:rsidR="009239F7" w:rsidRPr="002F6A28" w:rsidRDefault="00B02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AABA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19A1" w14:textId="77777777" w:rsidR="009239F7" w:rsidRPr="002F6A28" w:rsidRDefault="00B02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G/TBT/N/PHL/280</w:t>
    </w:r>
    <w:bookmarkEnd w:id="41"/>
  </w:p>
  <w:p w14:paraId="5AE9133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935477" w14:textId="77777777" w:rsidR="009239F7" w:rsidRPr="002F6A28" w:rsidRDefault="00B02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1C1C2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3615" w14:paraId="4B1C7EE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31AFD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360F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33615" w14:paraId="4E404A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3C8E0D" w14:textId="77777777" w:rsidR="00ED54E0" w:rsidRPr="009239F7" w:rsidRDefault="00B028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30021D" wp14:editId="28CDD97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87606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225C6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33615" w14:paraId="4D89BA0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7A54E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17F7C9" w14:textId="77777777" w:rsidR="009239F7" w:rsidRPr="002F6A28" w:rsidRDefault="00B0287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G/TBT/N/PHL/280</w:t>
          </w:r>
          <w:bookmarkEnd w:id="43"/>
        </w:p>
      </w:tc>
    </w:tr>
    <w:tr w:rsidR="00433615" w14:paraId="0B274F8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B185F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6E1BA5" w14:textId="606A803E" w:rsidR="00ED54E0" w:rsidRPr="009239F7" w:rsidRDefault="00B0287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February 2022</w:t>
          </w:r>
        </w:p>
      </w:tc>
    </w:tr>
    <w:tr w:rsidR="00433615" w14:paraId="4E59E56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22A590" w14:textId="1F897857" w:rsidR="00ED54E0" w:rsidRPr="009239F7" w:rsidRDefault="00B0287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955024">
            <w:rPr>
              <w:color w:val="FF0000"/>
              <w:szCs w:val="16"/>
            </w:rPr>
            <w:t>1215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367602" w14:textId="77777777" w:rsidR="00ED54E0" w:rsidRPr="009239F7" w:rsidRDefault="00B0287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33615" w14:paraId="6501461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C23625" w14:textId="77777777" w:rsidR="00ED54E0" w:rsidRPr="009239F7" w:rsidRDefault="00B0287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A41D34" w14:textId="77777777" w:rsidR="00ED54E0" w:rsidRPr="002F6A28" w:rsidRDefault="00B0287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CEA669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7EF8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F6D6EA" w:tentative="1">
      <w:start w:val="1"/>
      <w:numFmt w:val="lowerLetter"/>
      <w:lvlText w:val="%2."/>
      <w:lvlJc w:val="left"/>
      <w:pPr>
        <w:ind w:left="1080" w:hanging="360"/>
      </w:pPr>
    </w:lvl>
    <w:lvl w:ilvl="2" w:tplc="917AA094" w:tentative="1">
      <w:start w:val="1"/>
      <w:numFmt w:val="lowerRoman"/>
      <w:lvlText w:val="%3."/>
      <w:lvlJc w:val="right"/>
      <w:pPr>
        <w:ind w:left="1800" w:hanging="180"/>
      </w:pPr>
    </w:lvl>
    <w:lvl w:ilvl="3" w:tplc="C87CC332" w:tentative="1">
      <w:start w:val="1"/>
      <w:numFmt w:val="decimal"/>
      <w:lvlText w:val="%4."/>
      <w:lvlJc w:val="left"/>
      <w:pPr>
        <w:ind w:left="2520" w:hanging="360"/>
      </w:pPr>
    </w:lvl>
    <w:lvl w:ilvl="4" w:tplc="D988BD60" w:tentative="1">
      <w:start w:val="1"/>
      <w:numFmt w:val="lowerLetter"/>
      <w:lvlText w:val="%5."/>
      <w:lvlJc w:val="left"/>
      <w:pPr>
        <w:ind w:left="3240" w:hanging="360"/>
      </w:pPr>
    </w:lvl>
    <w:lvl w:ilvl="5" w:tplc="9A02DCCA" w:tentative="1">
      <w:start w:val="1"/>
      <w:numFmt w:val="lowerRoman"/>
      <w:lvlText w:val="%6."/>
      <w:lvlJc w:val="right"/>
      <w:pPr>
        <w:ind w:left="3960" w:hanging="180"/>
      </w:pPr>
    </w:lvl>
    <w:lvl w:ilvl="6" w:tplc="EE6AF8B0" w:tentative="1">
      <w:start w:val="1"/>
      <w:numFmt w:val="decimal"/>
      <w:lvlText w:val="%7."/>
      <w:lvlJc w:val="left"/>
      <w:pPr>
        <w:ind w:left="4680" w:hanging="360"/>
      </w:pPr>
    </w:lvl>
    <w:lvl w:ilvl="7" w:tplc="12AA8944" w:tentative="1">
      <w:start w:val="1"/>
      <w:numFmt w:val="lowerLetter"/>
      <w:lvlText w:val="%8."/>
      <w:lvlJc w:val="left"/>
      <w:pPr>
        <w:ind w:left="5400" w:hanging="360"/>
      </w:pPr>
    </w:lvl>
    <w:lvl w:ilvl="8" w:tplc="65E43B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0CC2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641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7E1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E2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1AE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C492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F09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500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02B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3615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5C89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024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2870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037C"/>
    <w:rsid w:val="00D32587"/>
    <w:rsid w:val="00D52A9D"/>
    <w:rsid w:val="00D55AAD"/>
    <w:rsid w:val="00D70F5B"/>
    <w:rsid w:val="00D747AE"/>
    <w:rsid w:val="00D9226C"/>
    <w:rsid w:val="00DA20BD"/>
    <w:rsid w:val="00DA5FD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2459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5C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rrhr-prsdd@fda.gov.ph" TargetMode="External"/><Relationship Id="rId13" Type="http://schemas.openxmlformats.org/officeDocument/2006/relationships/hyperlink" Target="https://members.wto.org/crnattachments/2022/TBT/PHL/22_1544_00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ccmatienzo@fda.gov.ph" TargetMode="External"/><Relationship Id="rId12" Type="http://schemas.openxmlformats.org/officeDocument/2006/relationships/hyperlink" Target="https://www.fda.gov.ph/wp-content/uploads/2022/02/Specific-List-of-Registrable-In-Vitro-Diagnostic-Medical-Devices-IVDs-and-Revis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s.dti.gov.p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ps@dti.gov.p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da.gov.p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3129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2022-02-11T08:02:00Z</dcterms:created>
  <dcterms:modified xsi:type="dcterms:W3CDTF">2022-02-11T08:15:00Z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