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13BD" w14:textId="77777777" w:rsidR="009239F7" w:rsidRPr="002F6A28" w:rsidRDefault="005612D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D570C3B" w14:textId="77777777" w:rsidR="009239F7" w:rsidRPr="002F6A28" w:rsidRDefault="005612D7" w:rsidP="002F6A28">
      <w:pPr>
        <w:jc w:val="center"/>
      </w:pPr>
      <w:r w:rsidRPr="002F6A28">
        <w:t>The following notification is being circulated in accordance with Article 10.6</w:t>
      </w:r>
    </w:p>
    <w:p w14:paraId="3F7D13B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039A7" w14:paraId="1E6FF82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C6A3D0E" w14:textId="77777777" w:rsidR="00F85C99" w:rsidRPr="002F6A28" w:rsidRDefault="005612D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2B5194D" w14:textId="77777777" w:rsidR="00F85C99" w:rsidRPr="002F6A28" w:rsidRDefault="005612D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JORDAN</w:t>
            </w:r>
            <w:bookmarkEnd w:id="1"/>
          </w:p>
          <w:p w14:paraId="0898894D" w14:textId="77777777" w:rsidR="00F85C99" w:rsidRDefault="005612D7" w:rsidP="002F6A28"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</w:p>
          <w:p w14:paraId="5ED7F8C8" w14:textId="77777777" w:rsidR="00361FEC" w:rsidRPr="002F6A28" w:rsidRDefault="00361FEC" w:rsidP="002F6A28"/>
        </w:tc>
      </w:tr>
      <w:tr w:rsidR="00C039A7" w14:paraId="5532E1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F0445" w14:textId="77777777" w:rsidR="00F85C99" w:rsidRPr="002F6A28" w:rsidRDefault="005612D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3B5B1" w14:textId="77777777" w:rsidR="00F85C99" w:rsidRPr="002F6A28" w:rsidRDefault="005612D7" w:rsidP="00155128">
            <w:pPr>
              <w:spacing w:before="120" w:after="120"/>
            </w:pPr>
            <w:bookmarkStart w:id="3" w:name="X_TBT_Reg_2A"/>
            <w:r w:rsidRPr="002F6A28">
              <w:rPr>
                <w:b/>
              </w:rPr>
              <w:t>Agency responsible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2a"/>
          </w:p>
          <w:p w14:paraId="707E0CFB" w14:textId="77777777" w:rsidR="00EE3A11" w:rsidRPr="00C379C8" w:rsidRDefault="005612D7" w:rsidP="00155128">
            <w:pPr>
              <w:spacing w:after="120"/>
            </w:pPr>
            <w:r w:rsidRPr="00C379C8">
              <w:t>JSMO</w:t>
            </w:r>
            <w:bookmarkEnd w:id="4"/>
          </w:p>
          <w:p w14:paraId="2EC4F68A" w14:textId="77777777" w:rsidR="00F85C99" w:rsidRPr="002F6A28" w:rsidRDefault="005612D7" w:rsidP="00AA646C">
            <w:pPr>
              <w:spacing w:after="120"/>
            </w:pPr>
            <w:bookmarkStart w:id="5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5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6" w:name="sps4a"/>
            <w:bookmarkEnd w:id="6"/>
          </w:p>
        </w:tc>
      </w:tr>
      <w:tr w:rsidR="00C039A7" w14:paraId="3CC715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69AA2" w14:textId="77777777" w:rsidR="00F85C99" w:rsidRPr="002F6A28" w:rsidRDefault="005612D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6F4B8" w14:textId="77777777" w:rsidR="00F85C99" w:rsidRPr="0058336F" w:rsidRDefault="005612D7" w:rsidP="002F6A28">
            <w:pPr>
              <w:spacing w:before="120" w:after="120"/>
            </w:pPr>
            <w:bookmarkStart w:id="7" w:name="X_TBT_Reg_3A"/>
            <w:r w:rsidRPr="002F6A28">
              <w:rPr>
                <w:b/>
              </w:rPr>
              <w:t>Notified under Article 2.9.2</w:t>
            </w:r>
            <w:bookmarkEnd w:id="7"/>
            <w:r w:rsidRPr="002F6A28">
              <w:rPr>
                <w:b/>
              </w:rPr>
              <w:t xml:space="preserve"> [</w:t>
            </w:r>
            <w:bookmarkStart w:id="8" w:name="tbt3a"/>
            <w:r w:rsidRPr="002F6A28">
              <w:rPr>
                <w:b/>
              </w:rPr>
              <w:t>X</w:t>
            </w:r>
            <w:bookmarkEnd w:id="8"/>
            <w:r w:rsidRPr="002F6A28">
              <w:rPr>
                <w:b/>
              </w:rPr>
              <w:t xml:space="preserve">], </w:t>
            </w:r>
            <w:bookmarkStart w:id="9" w:name="X_TBT_Reg_3B"/>
            <w:r w:rsidRPr="002F6A28">
              <w:rPr>
                <w:b/>
              </w:rPr>
              <w:t>2.10.1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b"/>
            <w:r w:rsidRPr="002F6A28">
              <w:rPr>
                <w:b/>
              </w:rPr>
              <w:t> 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C"/>
            <w:r w:rsidRPr="002F6A28">
              <w:rPr>
                <w:b/>
              </w:rPr>
              <w:t>5.6.2</w:t>
            </w:r>
            <w:bookmarkEnd w:id="11"/>
            <w:r w:rsidRPr="002F6A28">
              <w:rPr>
                <w:b/>
              </w:rPr>
              <w:t xml:space="preserve"> [</w:t>
            </w:r>
            <w:bookmarkStart w:id="12" w:name="tbt3c"/>
            <w:r w:rsidRPr="002F6A28">
              <w:rPr>
                <w:b/>
              </w:rPr>
              <w:t>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D"/>
            <w:r w:rsidRPr="002F6A28">
              <w:rPr>
                <w:b/>
              </w:rPr>
              <w:t>5.7.1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d"/>
            <w:r w:rsidRPr="002F6A28">
              <w:rPr>
                <w:b/>
              </w:rPr>
              <w:t> </w:t>
            </w:r>
            <w:bookmarkEnd w:id="14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5" w:name="tbt3e"/>
            <w:r w:rsidR="008D641C">
              <w:rPr>
                <w:b/>
              </w:rPr>
              <w:t> </w:t>
            </w:r>
            <w:bookmarkEnd w:id="15"/>
            <w:r w:rsidR="008D641C">
              <w:rPr>
                <w:b/>
              </w:rPr>
              <w:t>], 7.2 [</w:t>
            </w:r>
            <w:bookmarkStart w:id="16" w:name="tbt3f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g"/>
            <w:bookmarkEnd w:id="17"/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C039A7" w14:paraId="5C4F44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87295" w14:textId="77777777" w:rsidR="00F85C99" w:rsidRPr="002F6A28" w:rsidRDefault="005612D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08FF3" w14:textId="77777777" w:rsidR="00F85C99" w:rsidRPr="002F6A28" w:rsidRDefault="005612D7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Environment. Health protection. Safety (ICS code(s): 13); Electronics (ICS code(s): 31)</w:t>
            </w:r>
            <w:bookmarkEnd w:id="21"/>
          </w:p>
        </w:tc>
      </w:tr>
      <w:tr w:rsidR="00C039A7" w14:paraId="2E2B23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7B44A" w14:textId="77777777" w:rsidR="00F85C99" w:rsidRPr="002F6A28" w:rsidRDefault="005612D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C6DC0" w14:textId="77777777" w:rsidR="00F85C99" w:rsidRPr="002F6A28" w:rsidRDefault="005612D7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Draft Technical regulation on ecodesign requirement for electronic displays; (30 page(s), in English)</w:t>
            </w:r>
            <w:bookmarkEnd w:id="23"/>
          </w:p>
        </w:tc>
      </w:tr>
      <w:tr w:rsidR="00C039A7" w14:paraId="248180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4CE9C" w14:textId="77777777" w:rsidR="00F85C99" w:rsidRPr="002F6A28" w:rsidRDefault="005612D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70EEF" w14:textId="77777777" w:rsidR="00361FEC" w:rsidRDefault="005612D7" w:rsidP="002F6A28">
            <w:pPr>
              <w:spacing w:before="120" w:after="120"/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</w:p>
          <w:p w14:paraId="2184E5FB" w14:textId="77777777" w:rsidR="00F85C99" w:rsidRPr="002F6A28" w:rsidRDefault="005612D7" w:rsidP="002F6A28">
            <w:pPr>
              <w:spacing w:before="120" w:after="120"/>
              <w:rPr>
                <w:b/>
              </w:rPr>
            </w:pPr>
            <w:r w:rsidRPr="00C379C8">
              <w:t>1. This Regulation establishes ecodesign requirements for the placing on the market and putting into service of electronic displays, including televisions, monitors and digital signage displays.</w:t>
            </w:r>
          </w:p>
          <w:p w14:paraId="02778B1B" w14:textId="77777777" w:rsidR="00FE448B" w:rsidRPr="00C379C8" w:rsidRDefault="005612D7" w:rsidP="002F6A28">
            <w:pPr>
              <w:spacing w:before="120" w:after="120"/>
            </w:pPr>
            <w:r w:rsidRPr="00C379C8">
              <w:t>2. This Regulation shall not apply to the following:</w:t>
            </w:r>
          </w:p>
          <w:p w14:paraId="3F2031C6" w14:textId="77777777" w:rsidR="00FE448B" w:rsidRPr="00C379C8" w:rsidRDefault="005612D7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any electronic display with a screen area smaller than or equal to 100 square centimetres;</w:t>
            </w:r>
          </w:p>
          <w:p w14:paraId="51223DCA" w14:textId="77777777" w:rsidR="00FE448B" w:rsidRPr="00C379C8" w:rsidRDefault="005612D7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projectors;</w:t>
            </w:r>
          </w:p>
          <w:p w14:paraId="29A95C74" w14:textId="77777777" w:rsidR="00FE448B" w:rsidRPr="00C379C8" w:rsidRDefault="005612D7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all-in-one video conference systems;</w:t>
            </w:r>
          </w:p>
          <w:p w14:paraId="614CA176" w14:textId="77777777" w:rsidR="00FE448B" w:rsidRPr="00C379C8" w:rsidRDefault="005612D7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medical displays;</w:t>
            </w:r>
          </w:p>
          <w:p w14:paraId="53DB051B" w14:textId="77777777" w:rsidR="00FE448B" w:rsidRPr="00C379C8" w:rsidRDefault="005612D7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virtual reality headsets;</w:t>
            </w:r>
          </w:p>
          <w:p w14:paraId="145FC377" w14:textId="77777777" w:rsidR="00FE448B" w:rsidRPr="00C379C8" w:rsidRDefault="005612D7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displays integrated or to be integrated into products listed into Article 2, point 3(a) and point 4 of Directive 2012/19/EU;</w:t>
            </w:r>
          </w:p>
          <w:p w14:paraId="38DA59DD" w14:textId="77777777" w:rsidR="00FE448B" w:rsidRPr="00C379C8" w:rsidRDefault="005612D7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displays that are components or subassemblies of products covered by implementing measures adopted under Directive 2009/125/EC.</w:t>
            </w:r>
          </w:p>
          <w:p w14:paraId="2BB63E84" w14:textId="77777777" w:rsidR="00FE448B" w:rsidRPr="00C379C8" w:rsidRDefault="005612D7" w:rsidP="002F6A28">
            <w:pPr>
              <w:spacing w:before="120" w:after="120"/>
            </w:pPr>
            <w:r w:rsidRPr="00C379C8">
              <w:t>3. The requirements in points A and B of Annex II shall not apply to the following displays:</w:t>
            </w:r>
          </w:p>
          <w:p w14:paraId="09890F85" w14:textId="77777777" w:rsidR="00FE448B" w:rsidRPr="00C379C8" w:rsidRDefault="005612D7" w:rsidP="002F6A28">
            <w:pPr>
              <w:numPr>
                <w:ilvl w:val="0"/>
                <w:numId w:val="17"/>
              </w:numPr>
              <w:spacing w:before="120" w:after="120"/>
            </w:pPr>
            <w:r w:rsidRPr="00C379C8">
              <w:t>broadcast displays;</w:t>
            </w:r>
          </w:p>
          <w:p w14:paraId="6A251251" w14:textId="77777777" w:rsidR="00FE448B" w:rsidRPr="00C379C8" w:rsidRDefault="005612D7" w:rsidP="002F6A28">
            <w:pPr>
              <w:numPr>
                <w:ilvl w:val="0"/>
                <w:numId w:val="17"/>
              </w:numPr>
              <w:spacing w:before="120" w:after="120"/>
            </w:pPr>
            <w:r w:rsidRPr="00C379C8">
              <w:t>professional displays;</w:t>
            </w:r>
          </w:p>
          <w:p w14:paraId="2B3CA5B0" w14:textId="77777777" w:rsidR="00FE448B" w:rsidRPr="00C379C8" w:rsidRDefault="005612D7" w:rsidP="002F6A28">
            <w:pPr>
              <w:numPr>
                <w:ilvl w:val="0"/>
                <w:numId w:val="17"/>
              </w:numPr>
              <w:spacing w:before="120" w:after="120"/>
            </w:pPr>
            <w:r w:rsidRPr="00C379C8">
              <w:lastRenderedPageBreak/>
              <w:t>security displays;</w:t>
            </w:r>
          </w:p>
          <w:p w14:paraId="50AD18DE" w14:textId="77777777" w:rsidR="00FE448B" w:rsidRPr="00C379C8" w:rsidRDefault="005612D7" w:rsidP="002F6A28">
            <w:pPr>
              <w:numPr>
                <w:ilvl w:val="0"/>
                <w:numId w:val="17"/>
              </w:numPr>
              <w:spacing w:before="120" w:after="120"/>
            </w:pPr>
            <w:r w:rsidRPr="00C379C8">
              <w:t>digital interactive whiteboards;</w:t>
            </w:r>
          </w:p>
          <w:p w14:paraId="1B9FE4E0" w14:textId="77777777" w:rsidR="00FE448B" w:rsidRPr="00C379C8" w:rsidRDefault="005612D7" w:rsidP="002F6A28">
            <w:pPr>
              <w:numPr>
                <w:ilvl w:val="0"/>
                <w:numId w:val="17"/>
              </w:numPr>
              <w:spacing w:before="120" w:after="120"/>
            </w:pPr>
            <w:r w:rsidRPr="00C379C8">
              <w:t>digital photo frames;</w:t>
            </w:r>
          </w:p>
          <w:p w14:paraId="601C3240" w14:textId="77777777" w:rsidR="00FE448B" w:rsidRPr="00C379C8" w:rsidRDefault="005612D7" w:rsidP="002F6A28">
            <w:pPr>
              <w:numPr>
                <w:ilvl w:val="0"/>
                <w:numId w:val="17"/>
              </w:numPr>
              <w:spacing w:before="120" w:after="120"/>
            </w:pPr>
            <w:r w:rsidRPr="00C379C8">
              <w:t>digital signage displays.</w:t>
            </w:r>
          </w:p>
          <w:p w14:paraId="34C0A907" w14:textId="77777777" w:rsidR="00FE448B" w:rsidRPr="00C379C8" w:rsidRDefault="005612D7" w:rsidP="002F6A28">
            <w:pPr>
              <w:spacing w:before="120" w:after="120"/>
            </w:pPr>
            <w:r w:rsidRPr="00C379C8">
              <w:t>4. The requirements in points A, B and C of Annex II shall not apply to the following displays:</w:t>
            </w:r>
          </w:p>
          <w:p w14:paraId="5E213AF9" w14:textId="77777777" w:rsidR="00FE448B" w:rsidRPr="00C379C8" w:rsidRDefault="005612D7" w:rsidP="002F6A28">
            <w:pPr>
              <w:numPr>
                <w:ilvl w:val="0"/>
                <w:numId w:val="18"/>
              </w:numPr>
              <w:spacing w:before="120" w:after="120"/>
            </w:pPr>
            <w:r w:rsidRPr="00C379C8">
              <w:t>status displays;</w:t>
            </w:r>
          </w:p>
          <w:p w14:paraId="3BE03C99" w14:textId="77777777" w:rsidR="00FE448B" w:rsidRPr="00C379C8" w:rsidRDefault="005612D7" w:rsidP="002F6A28">
            <w:pPr>
              <w:numPr>
                <w:ilvl w:val="0"/>
                <w:numId w:val="18"/>
              </w:numPr>
              <w:spacing w:before="120" w:after="120"/>
            </w:pPr>
            <w:r w:rsidRPr="00C379C8">
              <w:t>control panels.</w:t>
            </w:r>
            <w:bookmarkEnd w:id="25"/>
          </w:p>
        </w:tc>
      </w:tr>
      <w:tr w:rsidR="00C039A7" w14:paraId="24AB7A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5A81C" w14:textId="77777777" w:rsidR="00F85C99" w:rsidRPr="002F6A28" w:rsidRDefault="005612D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F09E6" w14:textId="77777777" w:rsidR="00F85C99" w:rsidRPr="002F6A28" w:rsidRDefault="005612D7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To promote new energy efficient products in order to protect the consumers rights in identifying the most energy efficient products in the market.; Consumer information, labelling; Quality requirements; Harmonization; Reducing trade barriers and facilitating trade; Cost saving and productivity enhancement</w:t>
            </w:r>
            <w:bookmarkEnd w:id="27"/>
          </w:p>
        </w:tc>
      </w:tr>
      <w:tr w:rsidR="00C039A7" w14:paraId="3DDFB9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CA2FD" w14:textId="77777777" w:rsidR="00F85C99" w:rsidRPr="002F6A28" w:rsidRDefault="005612D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5B7CA" w14:textId="77777777" w:rsidR="00072B36" w:rsidRPr="002F6A28" w:rsidRDefault="005612D7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5E88384" w14:textId="77777777" w:rsidR="00F85C99" w:rsidRPr="002F6A28" w:rsidRDefault="005612D7" w:rsidP="009E75ED">
            <w:pPr>
              <w:spacing w:before="120" w:after="120"/>
            </w:pPr>
            <w:bookmarkStart w:id="29" w:name="sps9a"/>
            <w:r w:rsidRPr="002F6A28">
              <w:t>- Technical Regulation on Eco-design requirements of Energy related products, for the year 2012.</w:t>
            </w:r>
          </w:p>
          <w:p w14:paraId="740A5590" w14:textId="77777777" w:rsidR="00F85C99" w:rsidRPr="002F6A28" w:rsidRDefault="005612D7" w:rsidP="009E75ED">
            <w:pPr>
              <w:spacing w:before="120" w:after="120"/>
            </w:pPr>
            <w:r w:rsidRPr="002F6A28">
              <w:t>- Jordan and Metrology law 22/2000.</w:t>
            </w:r>
          </w:p>
          <w:p w14:paraId="4B8163D5" w14:textId="77777777" w:rsidR="00F85C99" w:rsidRPr="002F6A28" w:rsidRDefault="005612D7" w:rsidP="009E75ED">
            <w:pPr>
              <w:spacing w:before="120" w:after="120"/>
            </w:pPr>
            <w:r w:rsidRPr="002F6A28">
              <w:t>- COMMISSION REGULATION (EU) 2019/2021 laying down ecodesign requirements for electronic displays pursuant to Directive 2009/125/EC of the European Parliament and of the Council, amending Commission Regulation (EC) No 1275/2008 and repealing Commission Regulation (EC) No 642/2009</w:t>
            </w:r>
            <w:bookmarkEnd w:id="29"/>
          </w:p>
        </w:tc>
      </w:tr>
      <w:tr w:rsidR="00C039A7" w14:paraId="0295D9A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18730" w14:textId="77777777" w:rsidR="00EE3A11" w:rsidRPr="002F6A28" w:rsidRDefault="005612D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C2137" w14:textId="77777777" w:rsidR="00EE3A11" w:rsidRPr="002F6A28" w:rsidRDefault="005612D7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C379C8">
              <w:t>To be determined</w:t>
            </w:r>
            <w:bookmarkEnd w:id="32"/>
          </w:p>
          <w:p w14:paraId="14D32096" w14:textId="77777777" w:rsidR="00EE3A11" w:rsidRPr="002F6A28" w:rsidRDefault="005612D7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To be determined</w:t>
            </w:r>
            <w:r w:rsidR="00361FEC">
              <w:t>.</w:t>
            </w:r>
            <w:r w:rsidRPr="00C379C8">
              <w:t xml:space="preserve"> Depending on consultation with our stockholders the entry of enforcement shall be determined.</w:t>
            </w:r>
            <w:bookmarkEnd w:id="35"/>
          </w:p>
        </w:tc>
      </w:tr>
      <w:tr w:rsidR="00C039A7" w14:paraId="51ECF8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BE097" w14:textId="77777777" w:rsidR="00F85C99" w:rsidRPr="002F6A28" w:rsidRDefault="005612D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3E38A" w14:textId="77777777" w:rsidR="00F85C99" w:rsidRPr="002F6A28" w:rsidRDefault="005612D7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1 August 2023</w:t>
            </w:r>
            <w:bookmarkEnd w:id="37"/>
          </w:p>
        </w:tc>
      </w:tr>
      <w:tr w:rsidR="00C039A7" w14:paraId="2F39410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AF5F408" w14:textId="77777777" w:rsidR="00F85C99" w:rsidRPr="002F6A28" w:rsidRDefault="005612D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89F8571" w14:textId="77777777" w:rsidR="00F85C99" w:rsidRPr="002F6A28" w:rsidRDefault="005612D7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 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3ACEEBCF" w14:textId="77777777" w:rsidR="00EE3A11" w:rsidRPr="00A12DDE" w:rsidRDefault="005612D7" w:rsidP="00B16145">
            <w:pPr>
              <w:keepNext/>
              <w:keepLines/>
              <w:spacing w:after="120"/>
              <w:rPr>
                <w:bCs/>
              </w:rPr>
            </w:pPr>
            <w:r w:rsidRPr="00A248E2">
              <w:t>https://www.jsmo.gov.jo/ar/Documents/Docs.zip</w:t>
            </w:r>
            <w:bookmarkEnd w:id="41"/>
          </w:p>
        </w:tc>
      </w:tr>
    </w:tbl>
    <w:p w14:paraId="4280D222" w14:textId="77777777" w:rsidR="00EE3A11" w:rsidRPr="002F6A28" w:rsidRDefault="00EE3A11" w:rsidP="002F6A28"/>
    <w:sectPr w:rsidR="00EE3A11" w:rsidRPr="002F6A28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1EE4" w14:textId="77777777" w:rsidR="00C16641" w:rsidRDefault="005612D7">
      <w:r>
        <w:separator/>
      </w:r>
    </w:p>
  </w:endnote>
  <w:endnote w:type="continuationSeparator" w:id="0">
    <w:p w14:paraId="46C622FB" w14:textId="77777777" w:rsidR="00C16641" w:rsidRDefault="0056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C265" w14:textId="77777777" w:rsidR="009239F7" w:rsidRPr="002F6A28" w:rsidRDefault="005612D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5894" w14:textId="77777777" w:rsidR="009239F7" w:rsidRPr="002F6A28" w:rsidRDefault="005612D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D3DC" w14:textId="77777777" w:rsidR="00EE3A11" w:rsidRPr="002F6A28" w:rsidRDefault="005612D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C9E9" w14:textId="77777777" w:rsidR="00C16641" w:rsidRDefault="005612D7">
      <w:r>
        <w:separator/>
      </w:r>
    </w:p>
  </w:footnote>
  <w:footnote w:type="continuationSeparator" w:id="0">
    <w:p w14:paraId="23B03086" w14:textId="77777777" w:rsidR="00C16641" w:rsidRDefault="0056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234D" w14:textId="77777777" w:rsidR="009239F7" w:rsidRPr="002F6A28" w:rsidRDefault="005612D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B890F4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1BC327" w14:textId="77777777" w:rsidR="009239F7" w:rsidRPr="002F6A28" w:rsidRDefault="005612D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81A770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53B0" w14:textId="77777777" w:rsidR="009239F7" w:rsidRPr="002F6A28" w:rsidRDefault="005612D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G/TBT/N/JOR/48</w:t>
    </w:r>
    <w:bookmarkEnd w:id="42"/>
  </w:p>
  <w:p w14:paraId="26D6480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96EEA5" w14:textId="77777777" w:rsidR="009239F7" w:rsidRPr="002F6A28" w:rsidRDefault="005612D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A4DF43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039A7" w14:paraId="3FCB685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40A08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5A005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C039A7" w14:paraId="0308FFD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6E9291" w14:textId="77777777" w:rsidR="00ED54E0" w:rsidRPr="009239F7" w:rsidRDefault="005612D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B8BAB23" wp14:editId="3831524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19465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F9B10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039A7" w14:paraId="2A2E580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4B614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DEAA0B" w14:textId="77777777" w:rsidR="009239F7" w:rsidRPr="002F6A28" w:rsidRDefault="005612D7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G/TBT/N/JOR/48</w:t>
          </w:r>
          <w:bookmarkEnd w:id="44"/>
        </w:p>
      </w:tc>
    </w:tr>
    <w:tr w:rsidR="00C039A7" w14:paraId="6E5E7F1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F2FE1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0BCA58" w14:textId="0F8715CB" w:rsidR="00ED54E0" w:rsidRPr="009239F7" w:rsidRDefault="005612D7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31 May 2023</w:t>
          </w:r>
        </w:p>
      </w:tc>
    </w:tr>
    <w:tr w:rsidR="00C039A7" w14:paraId="217B72A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3D74A3" w14:textId="67324116" w:rsidR="00ED54E0" w:rsidRPr="009239F7" w:rsidRDefault="005612D7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23-</w:t>
          </w:r>
          <w:r w:rsidR="00E167F6">
            <w:rPr>
              <w:color w:val="FF0000"/>
              <w:szCs w:val="16"/>
            </w:rPr>
            <w:t>3674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B05360" w14:textId="77777777" w:rsidR="00ED54E0" w:rsidRPr="009239F7" w:rsidRDefault="005612D7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C039A7" w14:paraId="37A47E8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E93B6B" w14:textId="77777777" w:rsidR="00ED54E0" w:rsidRPr="009239F7" w:rsidRDefault="005612D7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9942CC" w14:textId="77777777" w:rsidR="00ED54E0" w:rsidRPr="002F6A28" w:rsidRDefault="005612D7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3C96C28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EC60B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9E3B54" w:tentative="1">
      <w:start w:val="1"/>
      <w:numFmt w:val="lowerLetter"/>
      <w:lvlText w:val="%2."/>
      <w:lvlJc w:val="left"/>
      <w:pPr>
        <w:ind w:left="1080" w:hanging="360"/>
      </w:pPr>
    </w:lvl>
    <w:lvl w:ilvl="2" w:tplc="77C2D54A" w:tentative="1">
      <w:start w:val="1"/>
      <w:numFmt w:val="lowerRoman"/>
      <w:lvlText w:val="%3."/>
      <w:lvlJc w:val="right"/>
      <w:pPr>
        <w:ind w:left="1800" w:hanging="180"/>
      </w:pPr>
    </w:lvl>
    <w:lvl w:ilvl="3" w:tplc="390CEB34" w:tentative="1">
      <w:start w:val="1"/>
      <w:numFmt w:val="decimal"/>
      <w:lvlText w:val="%4."/>
      <w:lvlJc w:val="left"/>
      <w:pPr>
        <w:ind w:left="2520" w:hanging="360"/>
      </w:pPr>
    </w:lvl>
    <w:lvl w:ilvl="4" w:tplc="BE846B32" w:tentative="1">
      <w:start w:val="1"/>
      <w:numFmt w:val="lowerLetter"/>
      <w:lvlText w:val="%5."/>
      <w:lvlJc w:val="left"/>
      <w:pPr>
        <w:ind w:left="3240" w:hanging="360"/>
      </w:pPr>
    </w:lvl>
    <w:lvl w:ilvl="5" w:tplc="CAEC6A7C" w:tentative="1">
      <w:start w:val="1"/>
      <w:numFmt w:val="lowerRoman"/>
      <w:lvlText w:val="%6."/>
      <w:lvlJc w:val="right"/>
      <w:pPr>
        <w:ind w:left="3960" w:hanging="180"/>
      </w:pPr>
    </w:lvl>
    <w:lvl w:ilvl="6" w:tplc="B67C2EBE" w:tentative="1">
      <w:start w:val="1"/>
      <w:numFmt w:val="decimal"/>
      <w:lvlText w:val="%7."/>
      <w:lvlJc w:val="left"/>
      <w:pPr>
        <w:ind w:left="4680" w:hanging="360"/>
      </w:pPr>
    </w:lvl>
    <w:lvl w:ilvl="7" w:tplc="916C480A" w:tentative="1">
      <w:start w:val="1"/>
      <w:numFmt w:val="lowerLetter"/>
      <w:lvlText w:val="%8."/>
      <w:lvlJc w:val="left"/>
      <w:pPr>
        <w:ind w:left="5400" w:hanging="360"/>
      </w:pPr>
    </w:lvl>
    <w:lvl w:ilvl="8" w:tplc="21BA40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526BD"/>
    <w:multiLevelType w:val="multilevel"/>
    <w:tmpl w:val="63D526BD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035277">
    <w:abstractNumId w:val="9"/>
  </w:num>
  <w:num w:numId="2" w16cid:durableId="1383090019">
    <w:abstractNumId w:val="7"/>
  </w:num>
  <w:num w:numId="3" w16cid:durableId="728118415">
    <w:abstractNumId w:val="6"/>
  </w:num>
  <w:num w:numId="4" w16cid:durableId="91780569">
    <w:abstractNumId w:val="5"/>
  </w:num>
  <w:num w:numId="5" w16cid:durableId="1105073360">
    <w:abstractNumId w:val="4"/>
  </w:num>
  <w:num w:numId="6" w16cid:durableId="185365966">
    <w:abstractNumId w:val="12"/>
  </w:num>
  <w:num w:numId="7" w16cid:durableId="1650744914">
    <w:abstractNumId w:val="11"/>
  </w:num>
  <w:num w:numId="8" w16cid:durableId="397678132">
    <w:abstractNumId w:val="10"/>
  </w:num>
  <w:num w:numId="9" w16cid:durableId="86967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5809272">
    <w:abstractNumId w:val="13"/>
  </w:num>
  <w:num w:numId="11" w16cid:durableId="210310702">
    <w:abstractNumId w:val="8"/>
  </w:num>
  <w:num w:numId="12" w16cid:durableId="2067144608">
    <w:abstractNumId w:val="3"/>
  </w:num>
  <w:num w:numId="13" w16cid:durableId="618799508">
    <w:abstractNumId w:val="2"/>
  </w:num>
  <w:num w:numId="14" w16cid:durableId="1272467970">
    <w:abstractNumId w:val="1"/>
  </w:num>
  <w:num w:numId="15" w16cid:durableId="388113428">
    <w:abstractNumId w:val="0"/>
  </w:num>
  <w:num w:numId="16" w16cid:durableId="1197424976">
    <w:abstractNumId w:val="14"/>
  </w:num>
  <w:num w:numId="17" w16cid:durableId="2042435161">
    <w:abstractNumId w:val="15"/>
  </w:num>
  <w:num w:numId="18" w16cid:durableId="5314989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61FEC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12D7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19D0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41AB4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248E2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39A7"/>
    <w:rsid w:val="00C11EAC"/>
    <w:rsid w:val="00C12F46"/>
    <w:rsid w:val="00C16641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167F6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A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e1b36df7-b2d8-4d33-a433-893db23d39a2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C233F97-0CEB-464F-9D8D-793F64946D6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488</Words>
  <Characters>2841</Characters>
  <Application>Microsoft Office Word</Application>
  <DocSecurity>0</DocSecurity>
  <Lines>75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2023-05-30T14:09:00Z</dcterms:created>
  <dcterms:modified xsi:type="dcterms:W3CDTF">2023-05-30T14:43:00Z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e1b36df7-b2d8-4d33-a433-893db23d39a2</vt:lpwstr>
  </property>
  <property fmtid="{D5CDD505-2E9C-101B-9397-08002B2CF9AE}" pid="4" name="WTOCLASSIFICATION">
    <vt:lpwstr>WTO OFFICIAL</vt:lpwstr>
  </property>
</Properties>
</file>