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297F" w14:textId="77777777" w:rsidR="00D90ADD" w:rsidRPr="009D0EBF" w:rsidRDefault="00B46F16" w:rsidP="009D0EBF">
      <w:pPr>
        <w:pStyle w:val="Title"/>
        <w:rPr>
          <w:caps w:val="0"/>
          <w:kern w:val="0"/>
        </w:rPr>
      </w:pPr>
      <w:r w:rsidRPr="009D0EBF">
        <w:rPr>
          <w:caps w:val="0"/>
          <w:kern w:val="0"/>
        </w:rPr>
        <w:t>NOTIFICATION</w:t>
      </w:r>
    </w:p>
    <w:p w14:paraId="7D8EB8E3" w14:textId="77777777" w:rsidR="00D90ADD" w:rsidRPr="009D0EBF" w:rsidRDefault="00B46F16" w:rsidP="009D0EBF">
      <w:pPr>
        <w:pStyle w:val="Title3"/>
      </w:pPr>
      <w:r w:rsidRPr="009D0EBF">
        <w:t>Revision</w:t>
      </w:r>
    </w:p>
    <w:p w14:paraId="6757CECE" w14:textId="77777777" w:rsidR="00D90ADD" w:rsidRPr="009D0EBF" w:rsidRDefault="00B46F16" w:rsidP="009D0EBF">
      <w:pPr>
        <w:jc w:val="center"/>
      </w:pPr>
      <w:r w:rsidRPr="009D0EBF">
        <w:t>The following notification is being circulated in accordance with Article 10.6.</w:t>
      </w:r>
    </w:p>
    <w:p w14:paraId="2EA595DF"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345D70" w14:paraId="3256285C" w14:textId="77777777" w:rsidTr="009903FC">
        <w:tc>
          <w:tcPr>
            <w:tcW w:w="384" w:type="pct"/>
            <w:tcBorders>
              <w:bottom w:val="single" w:sz="6" w:space="0" w:color="auto"/>
            </w:tcBorders>
            <w:shd w:val="clear" w:color="auto" w:fill="auto"/>
          </w:tcPr>
          <w:p w14:paraId="2173481B" w14:textId="77777777" w:rsidR="004C341F" w:rsidRPr="009D0EBF" w:rsidRDefault="00B46F16" w:rsidP="009D0EBF">
            <w:pPr>
              <w:spacing w:before="120" w:after="120"/>
              <w:jc w:val="center"/>
            </w:pPr>
            <w:r w:rsidRPr="009D0EBF">
              <w:rPr>
                <w:b/>
              </w:rPr>
              <w:t>1.</w:t>
            </w:r>
          </w:p>
        </w:tc>
        <w:tc>
          <w:tcPr>
            <w:tcW w:w="4616" w:type="pct"/>
            <w:tcBorders>
              <w:bottom w:val="single" w:sz="6" w:space="0" w:color="auto"/>
            </w:tcBorders>
            <w:shd w:val="clear" w:color="auto" w:fill="auto"/>
          </w:tcPr>
          <w:p w14:paraId="5EA20135" w14:textId="77777777" w:rsidR="004C341F" w:rsidRPr="009D0EBF" w:rsidRDefault="00B46F16"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ISRAEL</w:t>
            </w:r>
            <w:bookmarkEnd w:id="0"/>
          </w:p>
          <w:p w14:paraId="08154073" w14:textId="77777777" w:rsidR="004C341F" w:rsidRPr="009D0EBF" w:rsidRDefault="00B46F16"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345D70" w14:paraId="5CA00F1B" w14:textId="77777777" w:rsidTr="009903FC">
        <w:tc>
          <w:tcPr>
            <w:tcW w:w="384" w:type="pct"/>
            <w:tcBorders>
              <w:top w:val="single" w:sz="6" w:space="0" w:color="auto"/>
              <w:bottom w:val="single" w:sz="6" w:space="0" w:color="auto"/>
            </w:tcBorders>
            <w:shd w:val="clear" w:color="auto" w:fill="auto"/>
          </w:tcPr>
          <w:p w14:paraId="2E572E2F" w14:textId="77777777" w:rsidR="004C341F" w:rsidRPr="009D0EBF" w:rsidRDefault="00B46F16"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19395F7" w14:textId="77777777" w:rsidR="004C341F" w:rsidRPr="009D0EBF" w:rsidRDefault="00B46F16" w:rsidP="000A3EFB">
            <w:pPr>
              <w:spacing w:before="120" w:after="120"/>
            </w:pPr>
            <w:r w:rsidRPr="009D0EBF">
              <w:rPr>
                <w:b/>
              </w:rPr>
              <w:t>Agency responsible:</w:t>
            </w:r>
            <w:r w:rsidR="004B48EF" w:rsidRPr="009D0EBF">
              <w:t xml:space="preserve"> </w:t>
            </w:r>
            <w:bookmarkStart w:id="2" w:name="sps2a"/>
          </w:p>
          <w:p w14:paraId="75ED1D36" w14:textId="77777777" w:rsidR="004B48EF" w:rsidRPr="009D0EBF" w:rsidRDefault="00B46F16" w:rsidP="000A3EFB">
            <w:r w:rsidRPr="009D0EBF">
              <w:t>Israel WTO-TBT Enquiry Point</w:t>
            </w:r>
          </w:p>
          <w:p w14:paraId="2486A3D2" w14:textId="77777777" w:rsidR="004B48EF" w:rsidRPr="009D0EBF" w:rsidRDefault="00B46F16" w:rsidP="000A3EFB">
            <w:r w:rsidRPr="009D0EBF">
              <w:t>Ministry of Economy and Industry</w:t>
            </w:r>
          </w:p>
          <w:p w14:paraId="5C4764DD" w14:textId="77777777" w:rsidR="004B48EF" w:rsidRPr="009D0EBF" w:rsidRDefault="00B46F16" w:rsidP="000A3EFB">
            <w:r w:rsidRPr="009D0EBF">
              <w:t>Tel: + (972) 74 750 2236</w:t>
            </w:r>
          </w:p>
          <w:p w14:paraId="39F54741" w14:textId="77777777" w:rsidR="004B48EF" w:rsidRPr="009D0EBF" w:rsidRDefault="00B46F16" w:rsidP="000A3EFB">
            <w:pPr>
              <w:spacing w:after="120"/>
            </w:pPr>
            <w:r w:rsidRPr="009D0EBF">
              <w:t xml:space="preserve">E-mail: </w:t>
            </w:r>
            <w:hyperlink r:id="rId8" w:history="1">
              <w:r w:rsidRPr="009D0EBF">
                <w:rPr>
                  <w:color w:val="0000FF"/>
                  <w:u w:val="single"/>
                </w:rPr>
                <w:t>Yael.Friedgut@service.economy.gov.il</w:t>
              </w:r>
            </w:hyperlink>
            <w:bookmarkEnd w:id="2"/>
          </w:p>
          <w:p w14:paraId="11BB61B5" w14:textId="77777777" w:rsidR="004C341F" w:rsidRPr="009D0EBF" w:rsidRDefault="00B46F16"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bookmarkEnd w:id="3"/>
          </w:p>
        </w:tc>
      </w:tr>
      <w:tr w:rsidR="00345D70" w14:paraId="2523F1B7" w14:textId="77777777" w:rsidTr="009903FC">
        <w:tc>
          <w:tcPr>
            <w:tcW w:w="384" w:type="pct"/>
            <w:tcBorders>
              <w:top w:val="single" w:sz="6" w:space="0" w:color="auto"/>
              <w:bottom w:val="single" w:sz="6" w:space="0" w:color="auto"/>
            </w:tcBorders>
            <w:shd w:val="clear" w:color="auto" w:fill="auto"/>
          </w:tcPr>
          <w:p w14:paraId="03705B0D" w14:textId="77777777" w:rsidR="004C341F" w:rsidRPr="009D0EBF" w:rsidRDefault="00B46F16"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0861A5D8" w14:textId="77777777" w:rsidR="004C341F" w:rsidRPr="009D0EBF" w:rsidRDefault="00B46F16" w:rsidP="009D0EBF">
            <w:pPr>
              <w:spacing w:before="120" w:after="120"/>
              <w:rPr>
                <w:b/>
              </w:rPr>
            </w:pPr>
            <w:r w:rsidRPr="009D0EBF">
              <w:rPr>
                <w:b/>
              </w:rPr>
              <w:t>Notified under Article 2.9.2 [</w:t>
            </w:r>
            <w:bookmarkStart w:id="4" w:name="tbt3a"/>
            <w:r w:rsidRPr="009D0EBF">
              <w:rPr>
                <w:b/>
              </w:rPr>
              <w:t> </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345D70" w14:paraId="01144BC5" w14:textId="77777777" w:rsidTr="009903FC">
        <w:tc>
          <w:tcPr>
            <w:tcW w:w="384" w:type="pct"/>
            <w:tcBorders>
              <w:top w:val="single" w:sz="6" w:space="0" w:color="auto"/>
              <w:bottom w:val="single" w:sz="6" w:space="0" w:color="auto"/>
            </w:tcBorders>
            <w:shd w:val="clear" w:color="auto" w:fill="auto"/>
          </w:tcPr>
          <w:p w14:paraId="6EFCAD54" w14:textId="77777777" w:rsidR="004C341F" w:rsidRPr="009D0EBF" w:rsidRDefault="00B46F16"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6E926407" w14:textId="77777777" w:rsidR="004C341F" w:rsidRPr="009D0EBF" w:rsidRDefault="00B46F16"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Products and commodities subject to Mandatory Standards</w:t>
            </w:r>
            <w:bookmarkEnd w:id="12"/>
          </w:p>
        </w:tc>
      </w:tr>
      <w:tr w:rsidR="00345D70" w14:paraId="4B6413F2" w14:textId="77777777" w:rsidTr="009903FC">
        <w:tc>
          <w:tcPr>
            <w:tcW w:w="384" w:type="pct"/>
            <w:tcBorders>
              <w:top w:val="single" w:sz="6" w:space="0" w:color="auto"/>
              <w:bottom w:val="single" w:sz="6" w:space="0" w:color="auto"/>
            </w:tcBorders>
            <w:shd w:val="clear" w:color="auto" w:fill="auto"/>
          </w:tcPr>
          <w:p w14:paraId="02AB7559" w14:textId="77777777" w:rsidR="004C341F" w:rsidRPr="009D0EBF" w:rsidRDefault="00B46F16"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06C19454" w14:textId="77777777" w:rsidR="004C341F" w:rsidRPr="009D0EBF" w:rsidRDefault="00B46F16"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Standards Law (Adoption of mandatory provisions applicable in European law) (Amendment no. 19) 5784-2024 and Israel's Import and Export Decree (Amendment no. 6); (20 page(s), in Hebrew)</w:t>
            </w:r>
            <w:bookmarkEnd w:id="13"/>
          </w:p>
        </w:tc>
      </w:tr>
      <w:tr w:rsidR="00345D70" w14:paraId="2960D227" w14:textId="77777777" w:rsidTr="009903FC">
        <w:tc>
          <w:tcPr>
            <w:tcW w:w="384" w:type="pct"/>
            <w:tcBorders>
              <w:top w:val="single" w:sz="6" w:space="0" w:color="auto"/>
              <w:bottom w:val="single" w:sz="6" w:space="0" w:color="auto"/>
            </w:tcBorders>
            <w:shd w:val="clear" w:color="auto" w:fill="auto"/>
          </w:tcPr>
          <w:p w14:paraId="595E09AB" w14:textId="77777777" w:rsidR="004C341F" w:rsidRPr="009D0EBF" w:rsidRDefault="00B46F16"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7A5D54B" w14:textId="77777777" w:rsidR="004C341F" w:rsidRPr="009D0EBF" w:rsidRDefault="00B46F16" w:rsidP="009D0EBF">
            <w:pPr>
              <w:spacing w:before="120" w:after="120"/>
            </w:pPr>
            <w:r w:rsidRPr="009D0EBF">
              <w:rPr>
                <w:b/>
              </w:rPr>
              <w:t>Description of content:</w:t>
            </w:r>
            <w:r w:rsidR="004B48EF" w:rsidRPr="002176BC">
              <w:t xml:space="preserve"> </w:t>
            </w:r>
            <w:bookmarkStart w:id="14" w:name="sps6a"/>
            <w:r w:rsidR="004B48EF" w:rsidRPr="002176BC">
              <w:t xml:space="preserve">The Israeli Parliament (The Knesset) approved the proposed 19th amendment to Israel's Standards Law and the proposed 6th amendment to the Import-export Decree in the first reading. This amendment significantly reforms Israel's import regime. </w:t>
            </w:r>
          </w:p>
          <w:p w14:paraId="7FF44E7F" w14:textId="77777777" w:rsidR="004B48EF" w:rsidRPr="002176BC" w:rsidRDefault="00B46F16" w:rsidP="009D0EBF">
            <w:pPr>
              <w:spacing w:before="120" w:after="120"/>
            </w:pPr>
            <w:r w:rsidRPr="002176BC">
              <w:t>The proposed amendment aims to reduce the regulatory and bureaucratic burden on manufacturers, importers, and retailers. It promotes competition and encourages free international trade, by adding an alternative route to importing and marketing goods subject to a mandatory standard.,</w:t>
            </w:r>
          </w:p>
          <w:p w14:paraId="5A745D70" w14:textId="77777777" w:rsidR="004B48EF" w:rsidRPr="002176BC" w:rsidRDefault="00B46F16" w:rsidP="009D0EBF">
            <w:pPr>
              <w:spacing w:before="120" w:after="120"/>
            </w:pPr>
            <w:r w:rsidRPr="002176BC">
              <w:t>The new alternative route relies on European regulations and its binding requirements. It reduces regulatory requirements at the import stage and focuses on market surveillance performed by the Commissioner of Standardization and his administration, in addition to sampling of goods at the ports according to a new risk management system.</w:t>
            </w:r>
          </w:p>
          <w:p w14:paraId="3D3182E8" w14:textId="77777777" w:rsidR="004B48EF" w:rsidRPr="002176BC" w:rsidRDefault="00B46F16" w:rsidP="009D0EBF">
            <w:pPr>
              <w:spacing w:before="120" w:after="120"/>
            </w:pPr>
            <w:r w:rsidRPr="002176BC">
              <w:t>Accordingly, an importer will be able to import goods that meet the requirements of the European regulation without, for example, presenting proof of compliance or performing laboratory tests upon inserting the product into the Israeli market.</w:t>
            </w:r>
          </w:p>
          <w:p w14:paraId="2F77C35E" w14:textId="77777777" w:rsidR="004B48EF" w:rsidRPr="002176BC" w:rsidRDefault="00B46F16" w:rsidP="009D0EBF">
            <w:pPr>
              <w:spacing w:before="120" w:after="120"/>
            </w:pPr>
            <w:r w:rsidRPr="002176BC">
              <w:lastRenderedPageBreak/>
              <w:t>The importer shall hold a declaration that he is not aware of any defect or non-compliance of the product with regulation.</w:t>
            </w:r>
          </w:p>
          <w:p w14:paraId="208EB2C2" w14:textId="77777777" w:rsidR="004B48EF" w:rsidRPr="002176BC" w:rsidRDefault="00B46F16" w:rsidP="009D0EBF">
            <w:pPr>
              <w:spacing w:before="120" w:after="120"/>
            </w:pPr>
            <w:r w:rsidRPr="002176BC">
              <w:t>This proposed amendment also includes a new Fifth Annex that details 17 European Directive that is adopted in correlation to Israel Mandatory Standards;</w:t>
            </w:r>
          </w:p>
          <w:tbl>
            <w:tblPr>
              <w:tblW w:w="0" w:type="auto"/>
              <w:tblCellSpacing w:w="15" w:type="dxa"/>
              <w:tblInd w:w="600" w:type="dxa"/>
              <w:tblLayout w:type="fixed"/>
              <w:tblCellMar>
                <w:top w:w="15" w:type="dxa"/>
                <w:left w:w="15" w:type="dxa"/>
                <w:bottom w:w="15" w:type="dxa"/>
                <w:right w:w="15" w:type="dxa"/>
              </w:tblCellMar>
              <w:tblLook w:val="04A0" w:firstRow="1" w:lastRow="0" w:firstColumn="1" w:lastColumn="0" w:noHBand="0" w:noVBand="1"/>
            </w:tblPr>
            <w:tblGrid>
              <w:gridCol w:w="5618"/>
              <w:gridCol w:w="2027"/>
            </w:tblGrid>
            <w:tr w:rsidR="00345D70" w14:paraId="68772FCB" w14:textId="77777777">
              <w:trPr>
                <w:tblCellSpacing w:w="15" w:type="dxa"/>
              </w:trPr>
              <w:tc>
                <w:tcPr>
                  <w:tcW w:w="5573" w:type="dxa"/>
                  <w:tcMar>
                    <w:top w:w="15" w:type="dxa"/>
                    <w:left w:w="15" w:type="dxa"/>
                    <w:bottom w:w="15" w:type="dxa"/>
                    <w:right w:w="15" w:type="dxa"/>
                  </w:tcMar>
                  <w:vAlign w:val="center"/>
                  <w:hideMark/>
                </w:tcPr>
                <w:p w14:paraId="1D6C8C81" w14:textId="77777777" w:rsidR="004B48EF" w:rsidRPr="002176BC" w:rsidRDefault="00B46F16" w:rsidP="009D0EBF">
                  <w:pPr>
                    <w:spacing w:before="120" w:after="120"/>
                  </w:pPr>
                  <w:r w:rsidRPr="002176BC">
                    <w:rPr>
                      <w:b/>
                      <w:bCs/>
                    </w:rPr>
                    <w:t>Adopted European Directive Regulation</w:t>
                  </w:r>
                </w:p>
              </w:tc>
              <w:tc>
                <w:tcPr>
                  <w:tcW w:w="1982" w:type="dxa"/>
                  <w:tcMar>
                    <w:top w:w="15" w:type="dxa"/>
                    <w:left w:w="15" w:type="dxa"/>
                    <w:bottom w:w="15" w:type="dxa"/>
                    <w:right w:w="15" w:type="dxa"/>
                  </w:tcMar>
                  <w:vAlign w:val="center"/>
                  <w:hideMark/>
                </w:tcPr>
                <w:p w14:paraId="6856E40A" w14:textId="77777777" w:rsidR="004B48EF" w:rsidRPr="002176BC" w:rsidRDefault="00B46F16" w:rsidP="009D0EBF">
                  <w:pPr>
                    <w:spacing w:before="120" w:after="120"/>
                  </w:pPr>
                  <w:r w:rsidRPr="002176BC">
                    <w:rPr>
                      <w:b/>
                      <w:bCs/>
                    </w:rPr>
                    <w:t>Proposed entry into force of adoption</w:t>
                  </w:r>
                </w:p>
              </w:tc>
            </w:tr>
            <w:tr w:rsidR="00345D70" w14:paraId="09005D41" w14:textId="77777777">
              <w:trPr>
                <w:tblCellSpacing w:w="15" w:type="dxa"/>
              </w:trPr>
              <w:tc>
                <w:tcPr>
                  <w:tcW w:w="5573" w:type="dxa"/>
                  <w:tcMar>
                    <w:top w:w="15" w:type="dxa"/>
                    <w:left w:w="15" w:type="dxa"/>
                    <w:bottom w:w="15" w:type="dxa"/>
                    <w:right w:w="15" w:type="dxa"/>
                  </w:tcMar>
                  <w:vAlign w:val="center"/>
                  <w:hideMark/>
                </w:tcPr>
                <w:p w14:paraId="3F71689F" w14:textId="77777777" w:rsidR="004B48EF" w:rsidRPr="002176BC" w:rsidRDefault="00B46F16" w:rsidP="009D0EBF">
                  <w:pPr>
                    <w:spacing w:before="120" w:after="120"/>
                  </w:pPr>
                  <w:r w:rsidRPr="002176BC">
                    <w:t>Toy Safety Directive 2009/48/EC</w:t>
                  </w:r>
                </w:p>
              </w:tc>
              <w:tc>
                <w:tcPr>
                  <w:tcW w:w="1982" w:type="dxa"/>
                  <w:tcMar>
                    <w:top w:w="15" w:type="dxa"/>
                    <w:left w:w="15" w:type="dxa"/>
                    <w:bottom w:w="15" w:type="dxa"/>
                    <w:right w:w="15" w:type="dxa"/>
                  </w:tcMar>
                  <w:vAlign w:val="center"/>
                  <w:hideMark/>
                </w:tcPr>
                <w:p w14:paraId="7CC7687C" w14:textId="77777777" w:rsidR="004B48EF" w:rsidRPr="002176BC" w:rsidRDefault="00B46F16" w:rsidP="009D0EBF">
                  <w:pPr>
                    <w:spacing w:before="120" w:after="120"/>
                  </w:pPr>
                  <w:r w:rsidRPr="002176BC">
                    <w:t>1 September 2024</w:t>
                  </w:r>
                </w:p>
              </w:tc>
            </w:tr>
            <w:tr w:rsidR="00345D70" w14:paraId="082570B4" w14:textId="77777777">
              <w:trPr>
                <w:tblCellSpacing w:w="15" w:type="dxa"/>
              </w:trPr>
              <w:tc>
                <w:tcPr>
                  <w:tcW w:w="5573" w:type="dxa"/>
                  <w:tcMar>
                    <w:top w:w="15" w:type="dxa"/>
                    <w:left w:w="15" w:type="dxa"/>
                    <w:bottom w:w="15" w:type="dxa"/>
                    <w:right w:w="15" w:type="dxa"/>
                  </w:tcMar>
                  <w:vAlign w:val="center"/>
                  <w:hideMark/>
                </w:tcPr>
                <w:p w14:paraId="6E0631FF" w14:textId="77777777" w:rsidR="004B48EF" w:rsidRPr="002176BC" w:rsidRDefault="00B46F16" w:rsidP="009D0EBF">
                  <w:pPr>
                    <w:spacing w:before="120" w:after="120"/>
                  </w:pPr>
                  <w:r w:rsidRPr="002176BC">
                    <w:t>GPSD 2001/95/EC</w:t>
                  </w:r>
                </w:p>
                <w:p w14:paraId="7EB8E3FE" w14:textId="77777777" w:rsidR="004B48EF" w:rsidRPr="002176BC" w:rsidRDefault="00B46F16" w:rsidP="009D0EBF">
                  <w:pPr>
                    <w:spacing w:before="120" w:after="120"/>
                  </w:pPr>
                  <w:r w:rsidRPr="002176BC">
                    <w:t>This adoption will not apply to:</w:t>
                  </w:r>
                </w:p>
                <w:p w14:paraId="160F77E5" w14:textId="77777777" w:rsidR="004B48EF" w:rsidRPr="002176BC" w:rsidRDefault="00B46F16" w:rsidP="009D0EBF">
                  <w:pPr>
                    <w:numPr>
                      <w:ilvl w:val="0"/>
                      <w:numId w:val="16"/>
                    </w:numPr>
                    <w:spacing w:before="120" w:after="120"/>
                    <w:jc w:val="left"/>
                  </w:pPr>
                  <w:r w:rsidRPr="002176BC">
                    <w:t>Playground equipment</w:t>
                  </w:r>
                </w:p>
                <w:p w14:paraId="6A773FF7" w14:textId="77777777" w:rsidR="004B48EF" w:rsidRPr="002176BC" w:rsidRDefault="00B46F16" w:rsidP="009D0EBF">
                  <w:pPr>
                    <w:numPr>
                      <w:ilvl w:val="0"/>
                      <w:numId w:val="16"/>
                    </w:numPr>
                    <w:spacing w:before="120" w:after="120"/>
                    <w:jc w:val="left"/>
                  </w:pPr>
                  <w:r w:rsidRPr="002176BC">
                    <w:t>Baby products - Soothers and nipples, soother holders, bottles, and Babies' cutlery and feeding utensils.</w:t>
                  </w:r>
                </w:p>
              </w:tc>
              <w:tc>
                <w:tcPr>
                  <w:tcW w:w="1982" w:type="dxa"/>
                  <w:tcMar>
                    <w:top w:w="15" w:type="dxa"/>
                    <w:left w:w="15" w:type="dxa"/>
                    <w:bottom w:w="15" w:type="dxa"/>
                    <w:right w:w="15" w:type="dxa"/>
                  </w:tcMar>
                  <w:vAlign w:val="center"/>
                  <w:hideMark/>
                </w:tcPr>
                <w:p w14:paraId="7BDDD446" w14:textId="77777777" w:rsidR="004B48EF" w:rsidRPr="002176BC" w:rsidRDefault="00B46F16" w:rsidP="009D0EBF">
                  <w:pPr>
                    <w:spacing w:before="120" w:after="120"/>
                  </w:pPr>
                  <w:r w:rsidRPr="002176BC">
                    <w:t>1 September 2024</w:t>
                  </w:r>
                </w:p>
              </w:tc>
            </w:tr>
            <w:tr w:rsidR="00345D70" w14:paraId="419CEFD4" w14:textId="77777777">
              <w:trPr>
                <w:tblCellSpacing w:w="15" w:type="dxa"/>
              </w:trPr>
              <w:tc>
                <w:tcPr>
                  <w:tcW w:w="5573" w:type="dxa"/>
                  <w:tcMar>
                    <w:top w:w="15" w:type="dxa"/>
                    <w:left w:w="15" w:type="dxa"/>
                    <w:bottom w:w="15" w:type="dxa"/>
                    <w:right w:w="15" w:type="dxa"/>
                  </w:tcMar>
                  <w:vAlign w:val="center"/>
                  <w:hideMark/>
                </w:tcPr>
                <w:p w14:paraId="1F6152D4" w14:textId="77777777" w:rsidR="004B48EF" w:rsidRPr="002176BC" w:rsidRDefault="00B46F16" w:rsidP="009D0EBF">
                  <w:pPr>
                    <w:spacing w:before="120" w:after="120"/>
                  </w:pPr>
                  <w:r w:rsidRPr="002176BC">
                    <w:t>REACH Regulation 1907/2006</w:t>
                  </w:r>
                </w:p>
              </w:tc>
              <w:tc>
                <w:tcPr>
                  <w:tcW w:w="1982" w:type="dxa"/>
                  <w:tcMar>
                    <w:top w:w="15" w:type="dxa"/>
                    <w:left w:w="15" w:type="dxa"/>
                    <w:bottom w:w="15" w:type="dxa"/>
                    <w:right w:w="15" w:type="dxa"/>
                  </w:tcMar>
                  <w:vAlign w:val="center"/>
                  <w:hideMark/>
                </w:tcPr>
                <w:p w14:paraId="73B353A6" w14:textId="77777777" w:rsidR="004B48EF" w:rsidRPr="002176BC" w:rsidRDefault="00B46F16" w:rsidP="009D0EBF">
                  <w:pPr>
                    <w:spacing w:before="120" w:after="120"/>
                  </w:pPr>
                  <w:r w:rsidRPr="002176BC">
                    <w:t>1 September 2024</w:t>
                  </w:r>
                </w:p>
              </w:tc>
            </w:tr>
            <w:tr w:rsidR="00345D70" w14:paraId="70555AF4" w14:textId="77777777">
              <w:trPr>
                <w:tblCellSpacing w:w="15" w:type="dxa"/>
              </w:trPr>
              <w:tc>
                <w:tcPr>
                  <w:tcW w:w="5573" w:type="dxa"/>
                  <w:tcMar>
                    <w:top w:w="15" w:type="dxa"/>
                    <w:left w:w="15" w:type="dxa"/>
                    <w:bottom w:w="15" w:type="dxa"/>
                    <w:right w:w="15" w:type="dxa"/>
                  </w:tcMar>
                  <w:vAlign w:val="center"/>
                  <w:hideMark/>
                </w:tcPr>
                <w:p w14:paraId="3CA980D7" w14:textId="77777777" w:rsidR="004B48EF" w:rsidRPr="002176BC" w:rsidRDefault="00B46F16" w:rsidP="009D0EBF">
                  <w:pPr>
                    <w:spacing w:before="120" w:after="120"/>
                  </w:pPr>
                  <w:r w:rsidRPr="002176BC">
                    <w:t>Food Contact Plastic Regulation 10/2011</w:t>
                  </w:r>
                </w:p>
              </w:tc>
              <w:tc>
                <w:tcPr>
                  <w:tcW w:w="1982" w:type="dxa"/>
                  <w:tcMar>
                    <w:top w:w="15" w:type="dxa"/>
                    <w:left w:w="15" w:type="dxa"/>
                    <w:bottom w:w="15" w:type="dxa"/>
                    <w:right w:w="15" w:type="dxa"/>
                  </w:tcMar>
                  <w:vAlign w:val="center"/>
                  <w:hideMark/>
                </w:tcPr>
                <w:p w14:paraId="4DC0965D" w14:textId="77777777" w:rsidR="004B48EF" w:rsidRPr="002176BC" w:rsidRDefault="00B46F16" w:rsidP="009D0EBF">
                  <w:pPr>
                    <w:spacing w:before="120" w:after="120"/>
                  </w:pPr>
                  <w:r w:rsidRPr="002176BC">
                    <w:t>1 September 2024</w:t>
                  </w:r>
                </w:p>
              </w:tc>
            </w:tr>
            <w:tr w:rsidR="00345D70" w14:paraId="0395760B" w14:textId="77777777">
              <w:trPr>
                <w:tblCellSpacing w:w="15" w:type="dxa"/>
              </w:trPr>
              <w:tc>
                <w:tcPr>
                  <w:tcW w:w="5573" w:type="dxa"/>
                  <w:tcMar>
                    <w:top w:w="15" w:type="dxa"/>
                    <w:left w:w="15" w:type="dxa"/>
                    <w:bottom w:w="15" w:type="dxa"/>
                    <w:right w:w="15" w:type="dxa"/>
                  </w:tcMar>
                  <w:vAlign w:val="center"/>
                  <w:hideMark/>
                </w:tcPr>
                <w:p w14:paraId="158F356F" w14:textId="77777777" w:rsidR="004B48EF" w:rsidRPr="002176BC" w:rsidRDefault="00B46F16" w:rsidP="009D0EBF">
                  <w:pPr>
                    <w:spacing w:before="120" w:after="120"/>
                  </w:pPr>
                  <w:r w:rsidRPr="002176BC">
                    <w:t>LVD 2014/35</w:t>
                  </w:r>
                </w:p>
              </w:tc>
              <w:tc>
                <w:tcPr>
                  <w:tcW w:w="1982" w:type="dxa"/>
                  <w:tcMar>
                    <w:top w:w="15" w:type="dxa"/>
                    <w:left w:w="15" w:type="dxa"/>
                    <w:bottom w:w="15" w:type="dxa"/>
                    <w:right w:w="15" w:type="dxa"/>
                  </w:tcMar>
                  <w:vAlign w:val="center"/>
                  <w:hideMark/>
                </w:tcPr>
                <w:p w14:paraId="3201A14B" w14:textId="77777777" w:rsidR="004B48EF" w:rsidRPr="002176BC" w:rsidRDefault="00B46F16" w:rsidP="009D0EBF">
                  <w:pPr>
                    <w:spacing w:before="120" w:after="120"/>
                  </w:pPr>
                  <w:r w:rsidRPr="002176BC">
                    <w:t>1 September 2024</w:t>
                  </w:r>
                </w:p>
              </w:tc>
            </w:tr>
            <w:tr w:rsidR="00345D70" w14:paraId="2F62AEB9" w14:textId="77777777">
              <w:trPr>
                <w:tblCellSpacing w:w="15" w:type="dxa"/>
              </w:trPr>
              <w:tc>
                <w:tcPr>
                  <w:tcW w:w="5573" w:type="dxa"/>
                  <w:tcMar>
                    <w:top w:w="15" w:type="dxa"/>
                    <w:left w:w="15" w:type="dxa"/>
                    <w:bottom w:w="15" w:type="dxa"/>
                    <w:right w:w="15" w:type="dxa"/>
                  </w:tcMar>
                  <w:vAlign w:val="center"/>
                  <w:hideMark/>
                </w:tcPr>
                <w:p w14:paraId="17DE3587" w14:textId="77777777" w:rsidR="004B48EF" w:rsidRPr="002176BC" w:rsidRDefault="00B46F16" w:rsidP="009D0EBF">
                  <w:pPr>
                    <w:spacing w:before="120" w:after="120"/>
                  </w:pPr>
                  <w:r w:rsidRPr="002176BC">
                    <w:t>EMC Directive 2014/30/EU</w:t>
                  </w:r>
                </w:p>
              </w:tc>
              <w:tc>
                <w:tcPr>
                  <w:tcW w:w="1982" w:type="dxa"/>
                  <w:tcMar>
                    <w:top w:w="15" w:type="dxa"/>
                    <w:left w:w="15" w:type="dxa"/>
                    <w:bottom w:w="15" w:type="dxa"/>
                    <w:right w:w="15" w:type="dxa"/>
                  </w:tcMar>
                  <w:vAlign w:val="center"/>
                  <w:hideMark/>
                </w:tcPr>
                <w:p w14:paraId="42B831FE" w14:textId="77777777" w:rsidR="004B48EF" w:rsidRPr="002176BC" w:rsidRDefault="00B46F16" w:rsidP="009D0EBF">
                  <w:pPr>
                    <w:spacing w:before="120" w:after="120"/>
                  </w:pPr>
                  <w:r w:rsidRPr="002176BC">
                    <w:t>1 September 2024</w:t>
                  </w:r>
                </w:p>
              </w:tc>
            </w:tr>
            <w:tr w:rsidR="00345D70" w14:paraId="39AD6088" w14:textId="77777777">
              <w:trPr>
                <w:tblCellSpacing w:w="15" w:type="dxa"/>
              </w:trPr>
              <w:tc>
                <w:tcPr>
                  <w:tcW w:w="5573" w:type="dxa"/>
                  <w:tcMar>
                    <w:top w:w="15" w:type="dxa"/>
                    <w:left w:w="15" w:type="dxa"/>
                    <w:bottom w:w="15" w:type="dxa"/>
                    <w:right w:w="15" w:type="dxa"/>
                  </w:tcMar>
                  <w:vAlign w:val="center"/>
                  <w:hideMark/>
                </w:tcPr>
                <w:p w14:paraId="77D5B3B0" w14:textId="77777777" w:rsidR="004B48EF" w:rsidRPr="002176BC" w:rsidRDefault="00B46F16" w:rsidP="009D0EBF">
                  <w:pPr>
                    <w:spacing w:before="120" w:after="120"/>
                  </w:pPr>
                  <w:r w:rsidRPr="002176BC">
                    <w:t>Regulation (EC) No 648/2004 regarding components marking</w:t>
                  </w:r>
                </w:p>
              </w:tc>
              <w:tc>
                <w:tcPr>
                  <w:tcW w:w="1982" w:type="dxa"/>
                  <w:tcMar>
                    <w:top w:w="15" w:type="dxa"/>
                    <w:left w:w="15" w:type="dxa"/>
                    <w:bottom w:w="15" w:type="dxa"/>
                    <w:right w:w="15" w:type="dxa"/>
                  </w:tcMar>
                  <w:vAlign w:val="center"/>
                  <w:hideMark/>
                </w:tcPr>
                <w:p w14:paraId="5C5B67E3" w14:textId="77777777" w:rsidR="004B48EF" w:rsidRPr="002176BC" w:rsidRDefault="00B46F16" w:rsidP="009D0EBF">
                  <w:pPr>
                    <w:spacing w:before="120" w:after="120"/>
                  </w:pPr>
                  <w:r w:rsidRPr="002176BC">
                    <w:t>1 September 2024</w:t>
                  </w:r>
                </w:p>
              </w:tc>
            </w:tr>
            <w:tr w:rsidR="00345D70" w14:paraId="6987B8FB" w14:textId="77777777">
              <w:trPr>
                <w:tblCellSpacing w:w="15" w:type="dxa"/>
              </w:trPr>
              <w:tc>
                <w:tcPr>
                  <w:tcW w:w="5573" w:type="dxa"/>
                  <w:tcMar>
                    <w:top w:w="15" w:type="dxa"/>
                    <w:left w:w="15" w:type="dxa"/>
                    <w:bottom w:w="15" w:type="dxa"/>
                    <w:right w:w="15" w:type="dxa"/>
                  </w:tcMar>
                  <w:vAlign w:val="center"/>
                  <w:hideMark/>
                </w:tcPr>
                <w:p w14:paraId="4B5D1EEB" w14:textId="77777777" w:rsidR="004B48EF" w:rsidRPr="002176BC" w:rsidRDefault="00B46F16" w:rsidP="009D0EBF">
                  <w:pPr>
                    <w:spacing w:before="120" w:after="120"/>
                  </w:pPr>
                  <w:r w:rsidRPr="002176BC">
                    <w:t>Regulation (EC) 1272/2008</w:t>
                  </w:r>
                </w:p>
              </w:tc>
              <w:tc>
                <w:tcPr>
                  <w:tcW w:w="1982" w:type="dxa"/>
                  <w:tcMar>
                    <w:top w:w="15" w:type="dxa"/>
                    <w:left w:w="15" w:type="dxa"/>
                    <w:bottom w:w="15" w:type="dxa"/>
                    <w:right w:w="15" w:type="dxa"/>
                  </w:tcMar>
                  <w:vAlign w:val="center"/>
                  <w:hideMark/>
                </w:tcPr>
                <w:p w14:paraId="4E77EB39" w14:textId="77777777" w:rsidR="004B48EF" w:rsidRPr="002176BC" w:rsidRDefault="00B46F16" w:rsidP="009D0EBF">
                  <w:pPr>
                    <w:spacing w:before="120" w:after="120"/>
                  </w:pPr>
                  <w:r w:rsidRPr="002176BC">
                    <w:t>1 September 2024</w:t>
                  </w:r>
                </w:p>
              </w:tc>
            </w:tr>
            <w:tr w:rsidR="00345D70" w14:paraId="61F540BE" w14:textId="77777777">
              <w:trPr>
                <w:tblCellSpacing w:w="15" w:type="dxa"/>
              </w:trPr>
              <w:tc>
                <w:tcPr>
                  <w:tcW w:w="5573" w:type="dxa"/>
                  <w:tcMar>
                    <w:top w:w="15" w:type="dxa"/>
                    <w:left w:w="15" w:type="dxa"/>
                    <w:bottom w:w="15" w:type="dxa"/>
                    <w:right w:w="15" w:type="dxa"/>
                  </w:tcMar>
                  <w:vAlign w:val="center"/>
                  <w:hideMark/>
                </w:tcPr>
                <w:p w14:paraId="16D055C5" w14:textId="77777777" w:rsidR="004B48EF" w:rsidRPr="002176BC" w:rsidRDefault="00B46F16" w:rsidP="009D0EBF">
                  <w:pPr>
                    <w:spacing w:before="120" w:after="120"/>
                  </w:pPr>
                  <w:r w:rsidRPr="002176BC">
                    <w:t>Directive Aerosol C75/324/EEC</w:t>
                  </w:r>
                </w:p>
              </w:tc>
              <w:tc>
                <w:tcPr>
                  <w:tcW w:w="1982" w:type="dxa"/>
                  <w:tcMar>
                    <w:top w:w="15" w:type="dxa"/>
                    <w:left w:w="15" w:type="dxa"/>
                    <w:bottom w:w="15" w:type="dxa"/>
                    <w:right w:w="15" w:type="dxa"/>
                  </w:tcMar>
                  <w:vAlign w:val="center"/>
                  <w:hideMark/>
                </w:tcPr>
                <w:p w14:paraId="51771F36" w14:textId="77777777" w:rsidR="004B48EF" w:rsidRPr="002176BC" w:rsidRDefault="00B46F16" w:rsidP="009D0EBF">
                  <w:pPr>
                    <w:spacing w:before="120" w:after="120"/>
                  </w:pPr>
                  <w:r w:rsidRPr="002176BC">
                    <w:t>1 September 2024</w:t>
                  </w:r>
                </w:p>
              </w:tc>
            </w:tr>
            <w:tr w:rsidR="00345D70" w14:paraId="26450B24" w14:textId="77777777">
              <w:trPr>
                <w:tblCellSpacing w:w="15" w:type="dxa"/>
              </w:trPr>
              <w:tc>
                <w:tcPr>
                  <w:tcW w:w="5573" w:type="dxa"/>
                  <w:tcMar>
                    <w:top w:w="15" w:type="dxa"/>
                    <w:left w:w="15" w:type="dxa"/>
                    <w:bottom w:w="15" w:type="dxa"/>
                    <w:right w:w="15" w:type="dxa"/>
                  </w:tcMar>
                  <w:vAlign w:val="center"/>
                  <w:hideMark/>
                </w:tcPr>
                <w:p w14:paraId="18C1A8F8" w14:textId="77777777" w:rsidR="004B48EF" w:rsidRPr="002176BC" w:rsidRDefault="00B46F16" w:rsidP="009D0EBF">
                  <w:pPr>
                    <w:spacing w:before="120" w:after="120"/>
                  </w:pPr>
                  <w:r w:rsidRPr="002176BC">
                    <w:t>Regulation PPE (EU) 2016/425</w:t>
                  </w:r>
                </w:p>
              </w:tc>
              <w:tc>
                <w:tcPr>
                  <w:tcW w:w="1982" w:type="dxa"/>
                  <w:tcMar>
                    <w:top w:w="15" w:type="dxa"/>
                    <w:left w:w="15" w:type="dxa"/>
                    <w:bottom w:w="15" w:type="dxa"/>
                    <w:right w:w="15" w:type="dxa"/>
                  </w:tcMar>
                  <w:vAlign w:val="center"/>
                  <w:hideMark/>
                </w:tcPr>
                <w:p w14:paraId="587BF3CE" w14:textId="77777777" w:rsidR="004B48EF" w:rsidRPr="002176BC" w:rsidRDefault="00B46F16" w:rsidP="009D0EBF">
                  <w:pPr>
                    <w:spacing w:before="120" w:after="120"/>
                  </w:pPr>
                  <w:r w:rsidRPr="002176BC">
                    <w:t>1 September 2024</w:t>
                  </w:r>
                </w:p>
              </w:tc>
            </w:tr>
            <w:tr w:rsidR="00345D70" w14:paraId="4D785100" w14:textId="77777777">
              <w:trPr>
                <w:tblCellSpacing w:w="15" w:type="dxa"/>
              </w:trPr>
              <w:tc>
                <w:tcPr>
                  <w:tcW w:w="5573" w:type="dxa"/>
                  <w:tcMar>
                    <w:top w:w="15" w:type="dxa"/>
                    <w:left w:w="15" w:type="dxa"/>
                    <w:bottom w:w="15" w:type="dxa"/>
                    <w:right w:w="15" w:type="dxa"/>
                  </w:tcMar>
                  <w:vAlign w:val="center"/>
                  <w:hideMark/>
                </w:tcPr>
                <w:p w14:paraId="41C92DBC" w14:textId="77777777" w:rsidR="004B48EF" w:rsidRPr="002176BC" w:rsidRDefault="00B46F16" w:rsidP="009D0EBF">
                  <w:pPr>
                    <w:spacing w:before="120" w:after="120"/>
                  </w:pPr>
                  <w:r w:rsidRPr="002176BC">
                    <w:t>TPE Directive 2010/35/EU</w:t>
                  </w:r>
                </w:p>
              </w:tc>
              <w:tc>
                <w:tcPr>
                  <w:tcW w:w="1982" w:type="dxa"/>
                  <w:tcMar>
                    <w:top w:w="15" w:type="dxa"/>
                    <w:left w:w="15" w:type="dxa"/>
                    <w:bottom w:w="15" w:type="dxa"/>
                    <w:right w:w="15" w:type="dxa"/>
                  </w:tcMar>
                  <w:vAlign w:val="center"/>
                  <w:hideMark/>
                </w:tcPr>
                <w:p w14:paraId="5DEC4DFA" w14:textId="77777777" w:rsidR="004B48EF" w:rsidRPr="002176BC" w:rsidRDefault="00B46F16" w:rsidP="009D0EBF">
                  <w:pPr>
                    <w:spacing w:before="120" w:after="120"/>
                  </w:pPr>
                  <w:r w:rsidRPr="002176BC">
                    <w:t>1 September 2027</w:t>
                  </w:r>
                </w:p>
              </w:tc>
            </w:tr>
            <w:tr w:rsidR="00345D70" w14:paraId="389467C6" w14:textId="77777777">
              <w:trPr>
                <w:tblCellSpacing w:w="15" w:type="dxa"/>
              </w:trPr>
              <w:tc>
                <w:tcPr>
                  <w:tcW w:w="5573" w:type="dxa"/>
                  <w:tcMar>
                    <w:top w:w="15" w:type="dxa"/>
                    <w:left w:w="15" w:type="dxa"/>
                    <w:bottom w:w="15" w:type="dxa"/>
                    <w:right w:w="15" w:type="dxa"/>
                  </w:tcMar>
                  <w:vAlign w:val="center"/>
                  <w:hideMark/>
                </w:tcPr>
                <w:p w14:paraId="1BC85D65" w14:textId="77777777" w:rsidR="004B48EF" w:rsidRPr="002176BC" w:rsidRDefault="00B46F16" w:rsidP="009D0EBF">
                  <w:pPr>
                    <w:spacing w:before="120" w:after="120"/>
                  </w:pPr>
                  <w:r w:rsidRPr="002176BC">
                    <w:t>SPVD 2014/29/EU</w:t>
                  </w:r>
                </w:p>
              </w:tc>
              <w:tc>
                <w:tcPr>
                  <w:tcW w:w="1982" w:type="dxa"/>
                  <w:tcMar>
                    <w:top w:w="15" w:type="dxa"/>
                    <w:left w:w="15" w:type="dxa"/>
                    <w:bottom w:w="15" w:type="dxa"/>
                    <w:right w:w="15" w:type="dxa"/>
                  </w:tcMar>
                  <w:vAlign w:val="center"/>
                  <w:hideMark/>
                </w:tcPr>
                <w:p w14:paraId="70B3B0D9" w14:textId="77777777" w:rsidR="004B48EF" w:rsidRPr="002176BC" w:rsidRDefault="00B46F16" w:rsidP="009D0EBF">
                  <w:pPr>
                    <w:spacing w:before="120" w:after="120"/>
                  </w:pPr>
                  <w:r w:rsidRPr="002176BC">
                    <w:t>1 September 2027</w:t>
                  </w:r>
                </w:p>
              </w:tc>
            </w:tr>
            <w:tr w:rsidR="00345D70" w14:paraId="63B6ECAA" w14:textId="77777777">
              <w:trPr>
                <w:tblCellSpacing w:w="15" w:type="dxa"/>
              </w:trPr>
              <w:tc>
                <w:tcPr>
                  <w:tcW w:w="5573" w:type="dxa"/>
                  <w:tcMar>
                    <w:top w:w="15" w:type="dxa"/>
                    <w:left w:w="15" w:type="dxa"/>
                    <w:bottom w:w="15" w:type="dxa"/>
                    <w:right w:w="15" w:type="dxa"/>
                  </w:tcMar>
                  <w:vAlign w:val="center"/>
                  <w:hideMark/>
                </w:tcPr>
                <w:p w14:paraId="305DE2FC" w14:textId="77777777" w:rsidR="004B48EF" w:rsidRPr="002176BC" w:rsidRDefault="00B46F16" w:rsidP="009D0EBF">
                  <w:pPr>
                    <w:spacing w:before="120" w:after="120"/>
                  </w:pPr>
                  <w:r w:rsidRPr="002176BC">
                    <w:t>PE Directive 2014/68/EU</w:t>
                  </w:r>
                </w:p>
              </w:tc>
              <w:tc>
                <w:tcPr>
                  <w:tcW w:w="1982" w:type="dxa"/>
                  <w:tcMar>
                    <w:top w:w="15" w:type="dxa"/>
                    <w:left w:w="15" w:type="dxa"/>
                    <w:bottom w:w="15" w:type="dxa"/>
                    <w:right w:w="15" w:type="dxa"/>
                  </w:tcMar>
                  <w:vAlign w:val="center"/>
                  <w:hideMark/>
                </w:tcPr>
                <w:p w14:paraId="1CD99F09" w14:textId="77777777" w:rsidR="004B48EF" w:rsidRPr="002176BC" w:rsidRDefault="00B46F16" w:rsidP="009D0EBF">
                  <w:pPr>
                    <w:spacing w:before="120" w:after="120"/>
                  </w:pPr>
                  <w:r w:rsidRPr="002176BC">
                    <w:t>1 September 2027</w:t>
                  </w:r>
                </w:p>
              </w:tc>
            </w:tr>
            <w:tr w:rsidR="00345D70" w14:paraId="428A70AC" w14:textId="77777777">
              <w:trPr>
                <w:tblCellSpacing w:w="15" w:type="dxa"/>
              </w:trPr>
              <w:tc>
                <w:tcPr>
                  <w:tcW w:w="5573" w:type="dxa"/>
                  <w:tcMar>
                    <w:top w:w="15" w:type="dxa"/>
                    <w:left w:w="15" w:type="dxa"/>
                    <w:bottom w:w="15" w:type="dxa"/>
                    <w:right w:w="15" w:type="dxa"/>
                  </w:tcMar>
                  <w:vAlign w:val="center"/>
                  <w:hideMark/>
                </w:tcPr>
                <w:p w14:paraId="7BA23223" w14:textId="77777777" w:rsidR="004B48EF" w:rsidRPr="002176BC" w:rsidRDefault="00B46F16" w:rsidP="009D0EBF">
                  <w:pPr>
                    <w:spacing w:before="120" w:after="120"/>
                  </w:pPr>
                  <w:r w:rsidRPr="002176BC">
                    <w:t>Machinery Directive 2006/42/EC</w:t>
                  </w:r>
                </w:p>
              </w:tc>
              <w:tc>
                <w:tcPr>
                  <w:tcW w:w="1982" w:type="dxa"/>
                  <w:tcMar>
                    <w:top w:w="15" w:type="dxa"/>
                    <w:left w:w="15" w:type="dxa"/>
                    <w:bottom w:w="15" w:type="dxa"/>
                    <w:right w:w="15" w:type="dxa"/>
                  </w:tcMar>
                  <w:vAlign w:val="center"/>
                  <w:hideMark/>
                </w:tcPr>
                <w:p w14:paraId="186A56A3" w14:textId="77777777" w:rsidR="004B48EF" w:rsidRPr="002176BC" w:rsidRDefault="00B46F16" w:rsidP="009D0EBF">
                  <w:pPr>
                    <w:spacing w:before="120" w:after="120"/>
                  </w:pPr>
                  <w:r w:rsidRPr="002176BC">
                    <w:t>1 September 2027</w:t>
                  </w:r>
                </w:p>
              </w:tc>
            </w:tr>
            <w:tr w:rsidR="00345D70" w14:paraId="2C498DB9" w14:textId="77777777">
              <w:trPr>
                <w:tblCellSpacing w:w="15" w:type="dxa"/>
              </w:trPr>
              <w:tc>
                <w:tcPr>
                  <w:tcW w:w="5573" w:type="dxa"/>
                  <w:tcMar>
                    <w:top w:w="15" w:type="dxa"/>
                    <w:left w:w="15" w:type="dxa"/>
                    <w:bottom w:w="15" w:type="dxa"/>
                    <w:right w:w="15" w:type="dxa"/>
                  </w:tcMar>
                  <w:vAlign w:val="center"/>
                  <w:hideMark/>
                </w:tcPr>
                <w:p w14:paraId="54115EEF" w14:textId="77777777" w:rsidR="004B48EF" w:rsidRPr="002176BC" w:rsidRDefault="00B46F16" w:rsidP="009D0EBF">
                  <w:pPr>
                    <w:spacing w:before="120" w:after="120"/>
                  </w:pPr>
                  <w:r w:rsidRPr="002176BC">
                    <w:t>Lift Directive 2014/33/EU</w:t>
                  </w:r>
                </w:p>
              </w:tc>
              <w:tc>
                <w:tcPr>
                  <w:tcW w:w="1982" w:type="dxa"/>
                  <w:tcMar>
                    <w:top w:w="15" w:type="dxa"/>
                    <w:left w:w="15" w:type="dxa"/>
                    <w:bottom w:w="15" w:type="dxa"/>
                    <w:right w:w="15" w:type="dxa"/>
                  </w:tcMar>
                  <w:vAlign w:val="center"/>
                  <w:hideMark/>
                </w:tcPr>
                <w:p w14:paraId="3973D89B" w14:textId="77777777" w:rsidR="004B48EF" w:rsidRPr="002176BC" w:rsidRDefault="00B46F16" w:rsidP="009D0EBF">
                  <w:pPr>
                    <w:spacing w:before="120" w:after="120"/>
                  </w:pPr>
                  <w:r w:rsidRPr="002176BC">
                    <w:t>1 September 2027</w:t>
                  </w:r>
                </w:p>
              </w:tc>
            </w:tr>
            <w:tr w:rsidR="00345D70" w14:paraId="39AF3C9A" w14:textId="77777777">
              <w:trPr>
                <w:tblCellSpacing w:w="15" w:type="dxa"/>
              </w:trPr>
              <w:tc>
                <w:tcPr>
                  <w:tcW w:w="5573" w:type="dxa"/>
                  <w:tcMar>
                    <w:top w:w="15" w:type="dxa"/>
                    <w:left w:w="15" w:type="dxa"/>
                    <w:bottom w:w="15" w:type="dxa"/>
                    <w:right w:w="15" w:type="dxa"/>
                  </w:tcMar>
                  <w:vAlign w:val="center"/>
                  <w:hideMark/>
                </w:tcPr>
                <w:p w14:paraId="1CCEBCC3" w14:textId="77777777" w:rsidR="004B48EF" w:rsidRPr="002176BC" w:rsidRDefault="00B46F16" w:rsidP="009D0EBF">
                  <w:pPr>
                    <w:spacing w:before="120" w:after="120"/>
                  </w:pPr>
                  <w:r w:rsidRPr="002176BC">
                    <w:t>Construction Products Regulation (EU) 305/2011</w:t>
                  </w:r>
                </w:p>
              </w:tc>
              <w:tc>
                <w:tcPr>
                  <w:tcW w:w="1982" w:type="dxa"/>
                  <w:tcMar>
                    <w:top w:w="15" w:type="dxa"/>
                    <w:left w:w="15" w:type="dxa"/>
                    <w:bottom w:w="15" w:type="dxa"/>
                    <w:right w:w="15" w:type="dxa"/>
                  </w:tcMar>
                  <w:vAlign w:val="center"/>
                  <w:hideMark/>
                </w:tcPr>
                <w:p w14:paraId="422C546A" w14:textId="77777777" w:rsidR="004B48EF" w:rsidRPr="002176BC" w:rsidRDefault="00B46F16" w:rsidP="009D0EBF">
                  <w:pPr>
                    <w:spacing w:before="120" w:after="120"/>
                  </w:pPr>
                  <w:r w:rsidRPr="002176BC">
                    <w:t>1 September 2027</w:t>
                  </w:r>
                </w:p>
              </w:tc>
            </w:tr>
            <w:tr w:rsidR="00345D70" w14:paraId="71525B33" w14:textId="77777777">
              <w:trPr>
                <w:tblCellSpacing w:w="15" w:type="dxa"/>
              </w:trPr>
              <w:tc>
                <w:tcPr>
                  <w:tcW w:w="5573" w:type="dxa"/>
                  <w:tcMar>
                    <w:top w:w="15" w:type="dxa"/>
                    <w:left w:w="15" w:type="dxa"/>
                    <w:bottom w:w="15" w:type="dxa"/>
                    <w:right w:w="15" w:type="dxa"/>
                  </w:tcMar>
                  <w:vAlign w:val="center"/>
                  <w:hideMark/>
                </w:tcPr>
                <w:p w14:paraId="12B4AE79" w14:textId="77777777" w:rsidR="004B48EF" w:rsidRPr="002176BC" w:rsidRDefault="00B46F16" w:rsidP="009D0EBF">
                  <w:pPr>
                    <w:spacing w:before="120" w:after="120"/>
                  </w:pPr>
                  <w:r w:rsidRPr="002176BC">
                    <w:t>Batteries Regulation (EU) 2023/1542</w:t>
                  </w:r>
                </w:p>
              </w:tc>
              <w:tc>
                <w:tcPr>
                  <w:tcW w:w="1982" w:type="dxa"/>
                  <w:tcMar>
                    <w:top w:w="15" w:type="dxa"/>
                    <w:left w:w="15" w:type="dxa"/>
                    <w:bottom w:w="15" w:type="dxa"/>
                    <w:right w:w="15" w:type="dxa"/>
                  </w:tcMar>
                  <w:vAlign w:val="center"/>
                  <w:hideMark/>
                </w:tcPr>
                <w:p w14:paraId="38961938" w14:textId="77777777" w:rsidR="004B48EF" w:rsidRPr="002176BC" w:rsidRDefault="00B46F16" w:rsidP="009D0EBF">
                  <w:pPr>
                    <w:spacing w:before="120" w:after="120"/>
                  </w:pPr>
                  <w:r w:rsidRPr="002176BC">
                    <w:t>1 September 2027</w:t>
                  </w:r>
                </w:p>
              </w:tc>
            </w:tr>
            <w:bookmarkEnd w:id="14"/>
          </w:tbl>
          <w:p w14:paraId="7F8195E8" w14:textId="77777777" w:rsidR="004B48EF" w:rsidRPr="002176BC" w:rsidRDefault="004B48EF" w:rsidP="009D0EBF">
            <w:pPr>
              <w:spacing w:before="120" w:after="120"/>
            </w:pPr>
          </w:p>
        </w:tc>
      </w:tr>
      <w:tr w:rsidR="00345D70" w14:paraId="68EC2C99" w14:textId="77777777" w:rsidTr="009903FC">
        <w:tc>
          <w:tcPr>
            <w:tcW w:w="384" w:type="pct"/>
            <w:tcBorders>
              <w:top w:val="single" w:sz="6" w:space="0" w:color="auto"/>
              <w:bottom w:val="single" w:sz="6" w:space="0" w:color="auto"/>
            </w:tcBorders>
            <w:shd w:val="clear" w:color="auto" w:fill="auto"/>
          </w:tcPr>
          <w:p w14:paraId="026AF92A" w14:textId="77777777" w:rsidR="004C341F" w:rsidRPr="009D0EBF" w:rsidRDefault="00B46F16"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5CE56F50" w14:textId="77777777" w:rsidR="004C341F" w:rsidRPr="009D0EBF" w:rsidRDefault="00B46F16"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Harmonization; Reducing trade barriers and facilitating trade</w:t>
            </w:r>
            <w:bookmarkEnd w:id="15"/>
            <w:r w:rsidRPr="00BF5532">
              <w:t xml:space="preserve"> </w:t>
            </w:r>
          </w:p>
        </w:tc>
      </w:tr>
      <w:tr w:rsidR="00345D70" w14:paraId="320A12ED" w14:textId="77777777" w:rsidTr="009903FC">
        <w:tc>
          <w:tcPr>
            <w:tcW w:w="384" w:type="pct"/>
            <w:tcBorders>
              <w:top w:val="single" w:sz="6" w:space="0" w:color="auto"/>
              <w:bottom w:val="single" w:sz="6" w:space="0" w:color="auto"/>
            </w:tcBorders>
            <w:shd w:val="clear" w:color="auto" w:fill="auto"/>
          </w:tcPr>
          <w:p w14:paraId="4777E6F0" w14:textId="77777777" w:rsidR="004C341F" w:rsidRPr="009D0EBF" w:rsidRDefault="00B46F16"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5DE35A9B" w14:textId="77777777" w:rsidR="008A43B9" w:rsidRPr="009D0EBF" w:rsidRDefault="00B46F16" w:rsidP="00150A34">
            <w:pPr>
              <w:spacing w:before="120" w:after="120"/>
            </w:pPr>
            <w:r w:rsidRPr="009D0EBF">
              <w:rPr>
                <w:b/>
              </w:rPr>
              <w:t>Relevant documents:</w:t>
            </w:r>
            <w:r w:rsidR="004B48EF" w:rsidRPr="004B3635">
              <w:t xml:space="preserve"> </w:t>
            </w:r>
            <w:bookmarkStart w:id="16" w:name="sps9a"/>
          </w:p>
          <w:p w14:paraId="7617C8D8" w14:textId="77777777" w:rsidR="004B48EF" w:rsidRPr="004B3635" w:rsidRDefault="00B46F16" w:rsidP="00150A34">
            <w:pPr>
              <w:numPr>
                <w:ilvl w:val="0"/>
                <w:numId w:val="17"/>
              </w:numPr>
              <w:spacing w:before="120" w:after="120"/>
            </w:pPr>
            <w:r w:rsidRPr="004B3635">
              <w:lastRenderedPageBreak/>
              <w:t>Israel's Standards Law, 5733-1953 and all its amendments;</w:t>
            </w:r>
          </w:p>
          <w:p w14:paraId="0980ECD3" w14:textId="77777777" w:rsidR="004B48EF" w:rsidRPr="004B3635" w:rsidRDefault="00B46F16" w:rsidP="00150A34">
            <w:pPr>
              <w:numPr>
                <w:ilvl w:val="0"/>
                <w:numId w:val="17"/>
              </w:numPr>
              <w:spacing w:before="120" w:after="120"/>
            </w:pPr>
            <w:r w:rsidRPr="004B3635">
              <w:t>Israel's Import and Export Decree [New Version], 5769-1979.</w:t>
            </w:r>
            <w:bookmarkEnd w:id="16"/>
          </w:p>
        </w:tc>
      </w:tr>
      <w:tr w:rsidR="00345D70" w14:paraId="2809FF92" w14:textId="77777777" w:rsidTr="00400D4D">
        <w:trPr>
          <w:cantSplit/>
        </w:trPr>
        <w:tc>
          <w:tcPr>
            <w:tcW w:w="384" w:type="pct"/>
            <w:tcBorders>
              <w:top w:val="single" w:sz="6" w:space="0" w:color="auto"/>
              <w:bottom w:val="single" w:sz="6" w:space="0" w:color="auto"/>
            </w:tcBorders>
            <w:shd w:val="clear" w:color="auto" w:fill="auto"/>
          </w:tcPr>
          <w:p w14:paraId="4784D162" w14:textId="77777777" w:rsidR="004B48EF" w:rsidRPr="009D0EBF" w:rsidRDefault="00B46F16"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4D617AC9" w14:textId="77777777" w:rsidR="004B48EF" w:rsidRPr="009D0EBF" w:rsidRDefault="00B46F16"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2FB05739" w14:textId="77777777" w:rsidR="004B48EF" w:rsidRPr="009D0EBF" w:rsidRDefault="00B46F16"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1 September 2024 and 1 September 2027, as detailed under item 6.</w:t>
            </w:r>
          </w:p>
          <w:p w14:paraId="1B0EF642" w14:textId="77777777" w:rsidR="0022230B" w:rsidRDefault="00B46F16" w:rsidP="00EA2511">
            <w:pPr>
              <w:spacing w:after="120"/>
              <w:rPr>
                <w:bCs/>
              </w:rPr>
            </w:pPr>
            <w:r>
              <w:rPr>
                <w:bCs/>
              </w:rPr>
              <w:t>The Minister of Economy and Industry may, by decree, postpone the commencement date if he is convinced that the preparation of the required supervisory and enforcement powers has not been completed. This will maintain inspection capabilities, implement the requirements of the European regulation, and implement the instructions of this proposed amendment to The Standards Law and the Import and Export Ordinance as worded in this draft.</w:t>
            </w:r>
            <w:bookmarkEnd w:id="20"/>
          </w:p>
        </w:tc>
      </w:tr>
      <w:tr w:rsidR="00345D70" w14:paraId="61FBF23D" w14:textId="77777777" w:rsidTr="009D7160">
        <w:tc>
          <w:tcPr>
            <w:tcW w:w="384" w:type="pct"/>
            <w:tcBorders>
              <w:top w:val="single" w:sz="6" w:space="0" w:color="auto"/>
              <w:bottom w:val="single" w:sz="6" w:space="0" w:color="auto"/>
            </w:tcBorders>
            <w:shd w:val="clear" w:color="auto" w:fill="auto"/>
          </w:tcPr>
          <w:p w14:paraId="229E435B" w14:textId="77777777" w:rsidR="004C341F" w:rsidRPr="009D0EBF" w:rsidRDefault="00B46F16"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2C8AC031" w14:textId="77777777" w:rsidR="004C341F" w:rsidRPr="009D0EBF" w:rsidRDefault="00B46F16" w:rsidP="009D0EBF">
            <w:pPr>
              <w:spacing w:before="120" w:after="120"/>
            </w:pPr>
            <w:r w:rsidRPr="009D0EBF">
              <w:rPr>
                <w:b/>
              </w:rPr>
              <w:t>Final date for comments:</w:t>
            </w:r>
            <w:r w:rsidR="004B48EF" w:rsidRPr="004B3635">
              <w:t xml:space="preserve"> </w:t>
            </w:r>
            <w:bookmarkStart w:id="21" w:name="sps12a"/>
            <w:r w:rsidR="004B48EF" w:rsidRPr="004B3635">
              <w:t>21 May 2024</w:t>
            </w:r>
            <w:bookmarkEnd w:id="21"/>
          </w:p>
        </w:tc>
      </w:tr>
      <w:tr w:rsidR="00345D70" w14:paraId="049CE280" w14:textId="77777777" w:rsidTr="009D7160">
        <w:trPr>
          <w:trHeight w:val="345"/>
        </w:trPr>
        <w:tc>
          <w:tcPr>
            <w:tcW w:w="384" w:type="pct"/>
            <w:tcBorders>
              <w:top w:val="single" w:sz="6" w:space="0" w:color="auto"/>
              <w:bottom w:val="double" w:sz="6" w:space="0" w:color="auto"/>
            </w:tcBorders>
            <w:shd w:val="clear" w:color="auto" w:fill="auto"/>
          </w:tcPr>
          <w:p w14:paraId="1988F138" w14:textId="77777777" w:rsidR="004C341F" w:rsidRPr="009D0EBF" w:rsidRDefault="00B46F16"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59AA9C4" w14:textId="77777777" w:rsidR="004C341F" w:rsidRPr="009D0EBF" w:rsidRDefault="00B46F16"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096F956E" w14:textId="77777777" w:rsidR="009C7DE5" w:rsidRPr="003F5EEF" w:rsidRDefault="00B46F16" w:rsidP="009C7DE5">
            <w:pPr>
              <w:keepNext/>
              <w:keepLines/>
            </w:pPr>
            <w:r w:rsidRPr="003F5EEF">
              <w:t>WTO-TBT Enquiry Point</w:t>
            </w:r>
          </w:p>
          <w:p w14:paraId="18C44C8B" w14:textId="77777777" w:rsidR="009C7DE5" w:rsidRPr="003F5EEF" w:rsidRDefault="00B37CF8" w:rsidP="009C7DE5">
            <w:pPr>
              <w:keepNext/>
              <w:keepLines/>
            </w:pPr>
            <w:hyperlink r:id="rId9" w:history="1">
              <w:r w:rsidR="00B46F16" w:rsidRPr="003F5EEF">
                <w:rPr>
                  <w:color w:val="0000FF"/>
                  <w:u w:val="single"/>
                </w:rPr>
                <w:t>Yael.Friedgut@service.economy.gov.il</w:t>
              </w:r>
            </w:hyperlink>
          </w:p>
          <w:p w14:paraId="3DB93116" w14:textId="77777777" w:rsidR="009C7DE5" w:rsidRPr="003F5EEF" w:rsidRDefault="00B37CF8" w:rsidP="009C7DE5">
            <w:pPr>
              <w:keepNext/>
              <w:keepLines/>
              <w:pBdr>
                <w:top w:val="none" w:sz="0" w:space="4" w:color="auto"/>
              </w:pBdr>
              <w:spacing w:after="120"/>
            </w:pPr>
            <w:hyperlink r:id="rId10" w:tgtFrame="_blank" w:history="1">
              <w:r w:rsidR="00B46F16" w:rsidRPr="003F5EEF">
                <w:rPr>
                  <w:color w:val="0000FF"/>
                  <w:u w:val="single"/>
                </w:rPr>
                <w:t>https://members.wto.org/crnattachments/2024/TBT/ISR/24_02476_00_x.pdf</w:t>
              </w:r>
            </w:hyperlink>
            <w:bookmarkEnd w:id="23"/>
          </w:p>
        </w:tc>
      </w:tr>
    </w:tbl>
    <w:p w14:paraId="11AA033F" w14:textId="77777777" w:rsidR="004B48EF" w:rsidRPr="009D0EBF" w:rsidRDefault="004B48EF" w:rsidP="00E94F70"/>
    <w:sectPr w:rsidR="004B48EF" w:rsidRPr="009D0EBF" w:rsidSect="00E94F7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92A4" w14:textId="77777777" w:rsidR="00B46F16" w:rsidRDefault="00B46F16">
      <w:r>
        <w:separator/>
      </w:r>
    </w:p>
  </w:endnote>
  <w:endnote w:type="continuationSeparator" w:id="0">
    <w:p w14:paraId="11AA3F0B" w14:textId="77777777" w:rsidR="00B46F16" w:rsidRDefault="00B4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03CF" w14:textId="77777777" w:rsidR="004B69CA" w:rsidRPr="009D0EBF" w:rsidRDefault="00B46F16"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2A8A" w14:textId="77777777" w:rsidR="00D90ADD" w:rsidRPr="009D0EBF" w:rsidRDefault="00B46F16"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7CEF" w14:textId="77777777" w:rsidR="004B48EF" w:rsidRPr="009D0EBF" w:rsidRDefault="00B46F16">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158E" w14:textId="77777777" w:rsidR="00B46F16" w:rsidRDefault="00B46F16">
      <w:r>
        <w:separator/>
      </w:r>
    </w:p>
  </w:footnote>
  <w:footnote w:type="continuationSeparator" w:id="0">
    <w:p w14:paraId="5FAE3697" w14:textId="77777777" w:rsidR="00B46F16" w:rsidRDefault="00B4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ABF9" w14:textId="77777777" w:rsidR="004B69CA" w:rsidRPr="009D0EBF" w:rsidRDefault="00B46F16" w:rsidP="00D90ADD">
    <w:pPr>
      <w:pStyle w:val="Header"/>
      <w:pBdr>
        <w:bottom w:val="single" w:sz="4" w:space="1" w:color="auto"/>
      </w:pBdr>
      <w:tabs>
        <w:tab w:val="clear" w:pos="4513"/>
        <w:tab w:val="clear" w:pos="9027"/>
      </w:tabs>
      <w:jc w:val="center"/>
    </w:pPr>
    <w:r w:rsidRPr="00BA4022">
      <w:t>G/TBT/N/COUNTRY</w:t>
    </w:r>
  </w:p>
  <w:p w14:paraId="0AC83C43" w14:textId="77777777" w:rsidR="004B69CA" w:rsidRPr="009D0EBF" w:rsidRDefault="004B69CA" w:rsidP="00D90ADD">
    <w:pPr>
      <w:pStyle w:val="Header"/>
      <w:pBdr>
        <w:bottom w:val="single" w:sz="4" w:space="1" w:color="auto"/>
      </w:pBdr>
      <w:tabs>
        <w:tab w:val="clear" w:pos="4513"/>
        <w:tab w:val="clear" w:pos="9027"/>
      </w:tabs>
      <w:jc w:val="center"/>
    </w:pPr>
  </w:p>
  <w:p w14:paraId="3EBC90C9" w14:textId="77777777" w:rsidR="004B69CA" w:rsidRPr="009D0EBF" w:rsidRDefault="00B46F16"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30B3C92"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5789" w14:textId="77777777" w:rsidR="00D90ADD" w:rsidRPr="009D0EBF" w:rsidRDefault="00B46F16" w:rsidP="00D90ADD">
    <w:pPr>
      <w:pStyle w:val="Header"/>
      <w:pBdr>
        <w:bottom w:val="single" w:sz="4" w:space="1" w:color="auto"/>
      </w:pBdr>
      <w:tabs>
        <w:tab w:val="clear" w:pos="4513"/>
        <w:tab w:val="clear" w:pos="9027"/>
      </w:tabs>
      <w:jc w:val="center"/>
    </w:pPr>
    <w:bookmarkStart w:id="24" w:name="spsSymbolHeader"/>
    <w:r w:rsidRPr="009D0EBF">
      <w:t>G/TBT/N/ISR/1329/Rev.1</w:t>
    </w:r>
    <w:bookmarkEnd w:id="24"/>
  </w:p>
  <w:p w14:paraId="56C226A4" w14:textId="77777777" w:rsidR="00D90ADD" w:rsidRPr="009D0EBF" w:rsidRDefault="00D90ADD" w:rsidP="00D90ADD">
    <w:pPr>
      <w:pStyle w:val="Header"/>
      <w:pBdr>
        <w:bottom w:val="single" w:sz="4" w:space="1" w:color="auto"/>
      </w:pBdr>
      <w:tabs>
        <w:tab w:val="clear" w:pos="4513"/>
        <w:tab w:val="clear" w:pos="9027"/>
      </w:tabs>
      <w:jc w:val="center"/>
    </w:pPr>
  </w:p>
  <w:p w14:paraId="715155CA" w14:textId="77777777" w:rsidR="00D90ADD" w:rsidRPr="009D0EBF" w:rsidRDefault="00B46F16"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58551C05"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5D70" w14:paraId="1341611E" w14:textId="77777777" w:rsidTr="00745C0F">
      <w:trPr>
        <w:trHeight w:val="240"/>
        <w:jc w:val="center"/>
      </w:trPr>
      <w:tc>
        <w:tcPr>
          <w:tcW w:w="3794" w:type="dxa"/>
          <w:shd w:val="clear" w:color="auto" w:fill="FFFFFF"/>
          <w:tcMar>
            <w:left w:w="108" w:type="dxa"/>
            <w:right w:w="108" w:type="dxa"/>
          </w:tcMar>
          <w:vAlign w:val="center"/>
        </w:tcPr>
        <w:p w14:paraId="55CA5CED"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4F5BE3DC" w14:textId="77777777" w:rsidR="00ED54E0" w:rsidRPr="00D90ADD" w:rsidRDefault="00ED54E0" w:rsidP="00F10043">
          <w:pPr>
            <w:jc w:val="right"/>
            <w:rPr>
              <w:b/>
              <w:color w:val="FF0000"/>
              <w:szCs w:val="16"/>
            </w:rPr>
          </w:pPr>
        </w:p>
      </w:tc>
    </w:tr>
    <w:bookmarkEnd w:id="25"/>
    <w:tr w:rsidR="00345D70" w14:paraId="03E6D150" w14:textId="77777777" w:rsidTr="00745C0F">
      <w:trPr>
        <w:trHeight w:val="213"/>
        <w:jc w:val="center"/>
      </w:trPr>
      <w:tc>
        <w:tcPr>
          <w:tcW w:w="3794" w:type="dxa"/>
          <w:vMerge w:val="restart"/>
          <w:shd w:val="clear" w:color="auto" w:fill="FFFFFF"/>
          <w:tcMar>
            <w:left w:w="0" w:type="dxa"/>
            <w:right w:w="0" w:type="dxa"/>
          </w:tcMar>
        </w:tcPr>
        <w:p w14:paraId="4E37687B" w14:textId="77777777" w:rsidR="00ED54E0" w:rsidRPr="00D90ADD" w:rsidRDefault="00B46F16" w:rsidP="00F10043">
          <w:pPr>
            <w:jc w:val="left"/>
          </w:pPr>
          <w:r>
            <w:rPr>
              <w:noProof/>
              <w:lang w:eastAsia="en-GB"/>
            </w:rPr>
            <w:drawing>
              <wp:inline distT="0" distB="0" distL="0" distR="0" wp14:anchorId="7BAC9892" wp14:editId="276616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79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B01372" w14:textId="77777777" w:rsidR="00ED54E0" w:rsidRPr="00D90ADD" w:rsidRDefault="00ED54E0" w:rsidP="00F10043">
          <w:pPr>
            <w:jc w:val="right"/>
            <w:rPr>
              <w:b/>
              <w:szCs w:val="16"/>
            </w:rPr>
          </w:pPr>
        </w:p>
      </w:tc>
    </w:tr>
    <w:tr w:rsidR="00345D70" w14:paraId="0AF8857E" w14:textId="77777777" w:rsidTr="00745C0F">
      <w:trPr>
        <w:trHeight w:val="868"/>
        <w:jc w:val="center"/>
      </w:trPr>
      <w:tc>
        <w:tcPr>
          <w:tcW w:w="3794" w:type="dxa"/>
          <w:vMerge/>
          <w:shd w:val="clear" w:color="auto" w:fill="FFFFFF"/>
          <w:tcMar>
            <w:left w:w="108" w:type="dxa"/>
            <w:right w:w="108" w:type="dxa"/>
          </w:tcMar>
        </w:tcPr>
        <w:p w14:paraId="48F895D2"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03987621" w14:textId="77777777" w:rsidR="00D90ADD" w:rsidRPr="009D0EBF" w:rsidRDefault="00B46F16" w:rsidP="00C82B33">
          <w:pPr>
            <w:jc w:val="right"/>
            <w:rPr>
              <w:b/>
              <w:szCs w:val="16"/>
            </w:rPr>
          </w:pPr>
          <w:bookmarkStart w:id="26" w:name="bmkSymbols"/>
          <w:r w:rsidRPr="009D0EBF">
            <w:rPr>
              <w:b/>
              <w:szCs w:val="16"/>
            </w:rPr>
            <w:t>G/TBT/N/ISR/1329/Rev.1</w:t>
          </w:r>
          <w:bookmarkEnd w:id="26"/>
        </w:p>
      </w:tc>
    </w:tr>
    <w:tr w:rsidR="00345D70" w14:paraId="7BDE3A65" w14:textId="77777777" w:rsidTr="00745C0F">
      <w:trPr>
        <w:trHeight w:val="240"/>
        <w:jc w:val="center"/>
      </w:trPr>
      <w:tc>
        <w:tcPr>
          <w:tcW w:w="3794" w:type="dxa"/>
          <w:vMerge/>
          <w:shd w:val="clear" w:color="auto" w:fill="FFFFFF"/>
          <w:tcMar>
            <w:left w:w="108" w:type="dxa"/>
            <w:right w:w="108" w:type="dxa"/>
          </w:tcMar>
          <w:vAlign w:val="center"/>
        </w:tcPr>
        <w:p w14:paraId="7B25DA68" w14:textId="77777777" w:rsidR="00ED54E0" w:rsidRPr="00D90ADD" w:rsidRDefault="00ED54E0" w:rsidP="00F10043"/>
      </w:tc>
      <w:tc>
        <w:tcPr>
          <w:tcW w:w="5448" w:type="dxa"/>
          <w:gridSpan w:val="2"/>
          <w:shd w:val="clear" w:color="auto" w:fill="FFFFFF"/>
          <w:tcMar>
            <w:left w:w="108" w:type="dxa"/>
            <w:right w:w="108" w:type="dxa"/>
          </w:tcMar>
          <w:vAlign w:val="center"/>
        </w:tcPr>
        <w:p w14:paraId="7638CB5A" w14:textId="4A38EC6B" w:rsidR="00ED54E0" w:rsidRPr="00D90ADD" w:rsidRDefault="00B46F16" w:rsidP="00C82B33">
          <w:pPr>
            <w:jc w:val="right"/>
            <w:rPr>
              <w:szCs w:val="16"/>
            </w:rPr>
          </w:pPr>
          <w:bookmarkStart w:id="27" w:name="spsDateDistribution"/>
          <w:bookmarkStart w:id="28" w:name="bmkDate"/>
          <w:bookmarkEnd w:id="27"/>
          <w:bookmarkEnd w:id="28"/>
          <w:r>
            <w:rPr>
              <w:szCs w:val="16"/>
            </w:rPr>
            <w:t>8 April 2024</w:t>
          </w:r>
        </w:p>
      </w:tc>
    </w:tr>
    <w:tr w:rsidR="00345D70" w14:paraId="33351CCD"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733AE4" w14:textId="4E075FED" w:rsidR="00ED54E0" w:rsidRPr="00D90ADD" w:rsidRDefault="00B46F16" w:rsidP="00C82B33">
          <w:pPr>
            <w:jc w:val="left"/>
            <w:rPr>
              <w:b/>
            </w:rPr>
          </w:pPr>
          <w:bookmarkStart w:id="29" w:name="bmkSerial"/>
          <w:r w:rsidRPr="009D0EBF">
            <w:rPr>
              <w:color w:val="FF0000"/>
              <w:szCs w:val="16"/>
            </w:rPr>
            <w:t>(</w:t>
          </w:r>
          <w:bookmarkStart w:id="30" w:name="spsSerialNumber"/>
          <w:bookmarkEnd w:id="30"/>
          <w:r>
            <w:rPr>
              <w:color w:val="FF0000"/>
              <w:szCs w:val="16"/>
            </w:rPr>
            <w:t>24-</w:t>
          </w:r>
          <w:r w:rsidR="00B37CF8">
            <w:rPr>
              <w:color w:val="FF0000"/>
              <w:szCs w:val="16"/>
            </w:rPr>
            <w:t>2947</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3AA6FC98" w14:textId="77777777" w:rsidR="00ED54E0" w:rsidRPr="00D90ADD" w:rsidRDefault="00B46F16"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345D70" w14:paraId="6D17D8E4"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9EA630" w14:textId="77777777" w:rsidR="00ED54E0" w:rsidRPr="00D90ADD" w:rsidRDefault="00B46F16"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3C5A3E61" w14:textId="77777777" w:rsidR="00ED54E0" w:rsidRPr="009D0EBF" w:rsidRDefault="00B46F16"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46E891DF"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1A9256">
      <w:start w:val="1"/>
      <w:numFmt w:val="decimal"/>
      <w:pStyle w:val="SummaryText"/>
      <w:lvlText w:val="%1."/>
      <w:lvlJc w:val="left"/>
      <w:pPr>
        <w:ind w:left="360" w:hanging="360"/>
      </w:pPr>
    </w:lvl>
    <w:lvl w:ilvl="1" w:tplc="4F9A36C6" w:tentative="1">
      <w:start w:val="1"/>
      <w:numFmt w:val="lowerLetter"/>
      <w:lvlText w:val="%2."/>
      <w:lvlJc w:val="left"/>
      <w:pPr>
        <w:ind w:left="1080" w:hanging="360"/>
      </w:pPr>
    </w:lvl>
    <w:lvl w:ilvl="2" w:tplc="A0B02904" w:tentative="1">
      <w:start w:val="1"/>
      <w:numFmt w:val="lowerRoman"/>
      <w:lvlText w:val="%3."/>
      <w:lvlJc w:val="right"/>
      <w:pPr>
        <w:ind w:left="1800" w:hanging="180"/>
      </w:pPr>
    </w:lvl>
    <w:lvl w:ilvl="3" w:tplc="009471A4" w:tentative="1">
      <w:start w:val="1"/>
      <w:numFmt w:val="decimal"/>
      <w:lvlText w:val="%4."/>
      <w:lvlJc w:val="left"/>
      <w:pPr>
        <w:ind w:left="2520" w:hanging="360"/>
      </w:pPr>
    </w:lvl>
    <w:lvl w:ilvl="4" w:tplc="24BEE3E2" w:tentative="1">
      <w:start w:val="1"/>
      <w:numFmt w:val="lowerLetter"/>
      <w:lvlText w:val="%5."/>
      <w:lvlJc w:val="left"/>
      <w:pPr>
        <w:ind w:left="3240" w:hanging="360"/>
      </w:pPr>
    </w:lvl>
    <w:lvl w:ilvl="5" w:tplc="D1287CFC" w:tentative="1">
      <w:start w:val="1"/>
      <w:numFmt w:val="lowerRoman"/>
      <w:lvlText w:val="%6."/>
      <w:lvlJc w:val="right"/>
      <w:pPr>
        <w:ind w:left="3960" w:hanging="180"/>
      </w:pPr>
    </w:lvl>
    <w:lvl w:ilvl="6" w:tplc="4872C3D4" w:tentative="1">
      <w:start w:val="1"/>
      <w:numFmt w:val="decimal"/>
      <w:lvlText w:val="%7."/>
      <w:lvlJc w:val="left"/>
      <w:pPr>
        <w:ind w:left="4680" w:hanging="360"/>
      </w:pPr>
    </w:lvl>
    <w:lvl w:ilvl="7" w:tplc="2BF6079E" w:tentative="1">
      <w:start w:val="1"/>
      <w:numFmt w:val="lowerLetter"/>
      <w:lvlText w:val="%8."/>
      <w:lvlJc w:val="left"/>
      <w:pPr>
        <w:ind w:left="5400" w:hanging="360"/>
      </w:pPr>
    </w:lvl>
    <w:lvl w:ilvl="8" w:tplc="782E146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hybridMultilevel"/>
    <w:tmpl w:val="63D526BC"/>
    <w:lvl w:ilvl="0" w:tplc="D5EAEAB8">
      <w:start w:val="1"/>
      <w:numFmt w:val="bullet"/>
      <w:lvlText w:val=""/>
      <w:lvlJc w:val="left"/>
      <w:pPr>
        <w:ind w:left="720" w:hanging="360"/>
      </w:pPr>
      <w:rPr>
        <w:rFonts w:ascii="Symbol" w:hAnsi="Symbol"/>
      </w:rPr>
    </w:lvl>
    <w:lvl w:ilvl="1" w:tplc="4414008C">
      <w:start w:val="1"/>
      <w:numFmt w:val="bullet"/>
      <w:lvlText w:val="o"/>
      <w:lvlJc w:val="left"/>
      <w:pPr>
        <w:tabs>
          <w:tab w:val="num" w:pos="1440"/>
        </w:tabs>
        <w:ind w:left="1440" w:hanging="360"/>
      </w:pPr>
      <w:rPr>
        <w:rFonts w:ascii="Courier New" w:hAnsi="Courier New"/>
      </w:rPr>
    </w:lvl>
    <w:lvl w:ilvl="2" w:tplc="46C66A6C">
      <w:start w:val="1"/>
      <w:numFmt w:val="bullet"/>
      <w:lvlText w:val=""/>
      <w:lvlJc w:val="left"/>
      <w:pPr>
        <w:tabs>
          <w:tab w:val="num" w:pos="2160"/>
        </w:tabs>
        <w:ind w:left="2160" w:hanging="360"/>
      </w:pPr>
      <w:rPr>
        <w:rFonts w:ascii="Wingdings" w:hAnsi="Wingdings"/>
      </w:rPr>
    </w:lvl>
    <w:lvl w:ilvl="3" w:tplc="2D8CBDEC">
      <w:start w:val="1"/>
      <w:numFmt w:val="bullet"/>
      <w:lvlText w:val=""/>
      <w:lvlJc w:val="left"/>
      <w:pPr>
        <w:tabs>
          <w:tab w:val="num" w:pos="2880"/>
        </w:tabs>
        <w:ind w:left="2880" w:hanging="360"/>
      </w:pPr>
      <w:rPr>
        <w:rFonts w:ascii="Symbol" w:hAnsi="Symbol"/>
      </w:rPr>
    </w:lvl>
    <w:lvl w:ilvl="4" w:tplc="B3AA0ADA">
      <w:start w:val="1"/>
      <w:numFmt w:val="bullet"/>
      <w:lvlText w:val="o"/>
      <w:lvlJc w:val="left"/>
      <w:pPr>
        <w:tabs>
          <w:tab w:val="num" w:pos="3600"/>
        </w:tabs>
        <w:ind w:left="3600" w:hanging="360"/>
      </w:pPr>
      <w:rPr>
        <w:rFonts w:ascii="Courier New" w:hAnsi="Courier New"/>
      </w:rPr>
    </w:lvl>
    <w:lvl w:ilvl="5" w:tplc="B9BACE0E">
      <w:start w:val="1"/>
      <w:numFmt w:val="bullet"/>
      <w:lvlText w:val=""/>
      <w:lvlJc w:val="left"/>
      <w:pPr>
        <w:tabs>
          <w:tab w:val="num" w:pos="4320"/>
        </w:tabs>
        <w:ind w:left="4320" w:hanging="360"/>
      </w:pPr>
      <w:rPr>
        <w:rFonts w:ascii="Wingdings" w:hAnsi="Wingdings"/>
      </w:rPr>
    </w:lvl>
    <w:lvl w:ilvl="6" w:tplc="AD32C608">
      <w:start w:val="1"/>
      <w:numFmt w:val="bullet"/>
      <w:lvlText w:val=""/>
      <w:lvlJc w:val="left"/>
      <w:pPr>
        <w:tabs>
          <w:tab w:val="num" w:pos="5040"/>
        </w:tabs>
        <w:ind w:left="5040" w:hanging="360"/>
      </w:pPr>
      <w:rPr>
        <w:rFonts w:ascii="Symbol" w:hAnsi="Symbol"/>
      </w:rPr>
    </w:lvl>
    <w:lvl w:ilvl="7" w:tplc="BF360BC2">
      <w:start w:val="1"/>
      <w:numFmt w:val="bullet"/>
      <w:lvlText w:val="o"/>
      <w:lvlJc w:val="left"/>
      <w:pPr>
        <w:tabs>
          <w:tab w:val="num" w:pos="5760"/>
        </w:tabs>
        <w:ind w:left="5760" w:hanging="360"/>
      </w:pPr>
      <w:rPr>
        <w:rFonts w:ascii="Courier New" w:hAnsi="Courier New"/>
      </w:rPr>
    </w:lvl>
    <w:lvl w:ilvl="8" w:tplc="89E21A3E">
      <w:start w:val="1"/>
      <w:numFmt w:val="bullet"/>
      <w:lvlText w:val=""/>
      <w:lvlJc w:val="left"/>
      <w:pPr>
        <w:tabs>
          <w:tab w:val="num" w:pos="6480"/>
        </w:tabs>
        <w:ind w:left="6480" w:hanging="360"/>
      </w:pPr>
      <w:rPr>
        <w:rFonts w:ascii="Wingdings" w:hAnsi="Wingdings"/>
      </w:rPr>
    </w:lvl>
  </w:abstractNum>
  <w:num w:numId="1" w16cid:durableId="1399281001">
    <w:abstractNumId w:val="9"/>
  </w:num>
  <w:num w:numId="2" w16cid:durableId="133261176">
    <w:abstractNumId w:val="7"/>
  </w:num>
  <w:num w:numId="3" w16cid:durableId="1243494359">
    <w:abstractNumId w:val="6"/>
  </w:num>
  <w:num w:numId="4" w16cid:durableId="882139129">
    <w:abstractNumId w:val="5"/>
  </w:num>
  <w:num w:numId="5" w16cid:durableId="1480998558">
    <w:abstractNumId w:val="4"/>
  </w:num>
  <w:num w:numId="6" w16cid:durableId="1988321292">
    <w:abstractNumId w:val="12"/>
  </w:num>
  <w:num w:numId="7" w16cid:durableId="196897324">
    <w:abstractNumId w:val="11"/>
  </w:num>
  <w:num w:numId="8" w16cid:durableId="598606870">
    <w:abstractNumId w:val="10"/>
  </w:num>
  <w:num w:numId="9" w16cid:durableId="918950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926138">
    <w:abstractNumId w:val="13"/>
  </w:num>
  <w:num w:numId="11" w16cid:durableId="210113911">
    <w:abstractNumId w:val="8"/>
  </w:num>
  <w:num w:numId="12" w16cid:durableId="812869456">
    <w:abstractNumId w:val="3"/>
  </w:num>
  <w:num w:numId="13" w16cid:durableId="871308023">
    <w:abstractNumId w:val="2"/>
  </w:num>
  <w:num w:numId="14" w16cid:durableId="813718695">
    <w:abstractNumId w:val="1"/>
  </w:num>
  <w:num w:numId="15" w16cid:durableId="230390716">
    <w:abstractNumId w:val="0"/>
  </w:num>
  <w:num w:numId="16" w16cid:durableId="258756792">
    <w:abstractNumId w:val="14"/>
  </w:num>
  <w:num w:numId="17" w16cid:durableId="1549997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45D70"/>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A0AF0"/>
    <w:rsid w:val="007B7A28"/>
    <w:rsid w:val="007E6507"/>
    <w:rsid w:val="007F2B8E"/>
    <w:rsid w:val="00807247"/>
    <w:rsid w:val="00840C2B"/>
    <w:rsid w:val="00854DAF"/>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37CF8"/>
    <w:rsid w:val="00B46F16"/>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97202"/>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B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service.economy.gov.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4/TBT/ISR/24_02476_00_x.pdf" TargetMode="External"/><Relationship Id="rId4" Type="http://schemas.openxmlformats.org/officeDocument/2006/relationships/settings" Target="settings.xml"/><Relationship Id="rId9" Type="http://schemas.openxmlformats.org/officeDocument/2006/relationships/hyperlink" Target="mailto:Yael.Friedgut@service.economy.gov.i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274781E-9527-4E3B-A2C8-4F1F99BBA91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3</Pages>
  <Words>688</Words>
  <Characters>4083</Characters>
  <Application>Microsoft Office Word</Application>
  <DocSecurity>0</DocSecurity>
  <Lines>117</Lines>
  <Paragraphs>82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2024-04-08T06:09:00Z</dcterms:created>
  <dcterms:modified xsi:type="dcterms:W3CDTF">2024-04-08T07:41:00Z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