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3D86" w14:textId="77777777" w:rsidR="009239F7" w:rsidRPr="002F6A28" w:rsidRDefault="000E57D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6C0756" w14:textId="77777777" w:rsidR="009239F7" w:rsidRPr="002F6A28" w:rsidRDefault="000E57DC" w:rsidP="002F6A28">
      <w:pPr>
        <w:jc w:val="center"/>
      </w:pPr>
      <w:r w:rsidRPr="002F6A28">
        <w:t>The following notification is being circulated in accordance with Article 10.6</w:t>
      </w:r>
    </w:p>
    <w:p w14:paraId="316236E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165DB" w14:paraId="13D0F35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FE1DCEB" w14:textId="77777777" w:rsidR="00F85C99" w:rsidRPr="002F6A28" w:rsidRDefault="000E57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E4ED67" w14:textId="77777777" w:rsidR="00F85C99" w:rsidRPr="002F6A28" w:rsidRDefault="000E57D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KINGDOM</w:t>
            </w:r>
            <w:bookmarkEnd w:id="1"/>
          </w:p>
          <w:p w14:paraId="07744D95" w14:textId="77777777" w:rsidR="00F85C99" w:rsidRPr="002F6A28" w:rsidRDefault="000E57D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165DB" w14:paraId="0E6AAE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442DF" w14:textId="77777777" w:rsidR="00F85C99" w:rsidRPr="002F6A28" w:rsidRDefault="000E57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63EEC" w14:textId="77777777" w:rsidR="00EE3A11" w:rsidRPr="00C379C8" w:rsidRDefault="000E57DC" w:rsidP="00DA7DC1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Department for Environment, Food and Rural Affairs (DEFRA)</w:t>
            </w:r>
            <w:bookmarkEnd w:id="5"/>
          </w:p>
          <w:p w14:paraId="7DB8E2BC" w14:textId="77777777" w:rsidR="00F85C99" w:rsidRPr="002F6A28" w:rsidRDefault="000E57D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8DF4201" w14:textId="77777777" w:rsidR="00AC6C6E" w:rsidRPr="00C379C8" w:rsidRDefault="000E57DC" w:rsidP="00AA646C">
            <w:r w:rsidRPr="00C379C8">
              <w:t>UK TBT Enquiry Point</w:t>
            </w:r>
          </w:p>
          <w:p w14:paraId="67F3F601" w14:textId="77777777" w:rsidR="00AC6C6E" w:rsidRPr="00C379C8" w:rsidRDefault="000E57DC" w:rsidP="00AA646C">
            <w:r w:rsidRPr="00C379C8">
              <w:t>Trade Policy, Implementation and Negotiations</w:t>
            </w:r>
          </w:p>
          <w:p w14:paraId="153175CF" w14:textId="77777777" w:rsidR="00AC6C6E" w:rsidRPr="00C379C8" w:rsidRDefault="000E57DC" w:rsidP="00AA646C">
            <w:r w:rsidRPr="00C379C8">
              <w:t>Department for Business and Trade</w:t>
            </w:r>
          </w:p>
          <w:p w14:paraId="258139D4" w14:textId="77777777" w:rsidR="00AC6C6E" w:rsidRPr="00C379C8" w:rsidRDefault="000E57DC" w:rsidP="00AA646C">
            <w:r w:rsidRPr="00C379C8">
              <w:t>Old Admiralty Building</w:t>
            </w:r>
          </w:p>
          <w:p w14:paraId="69943342" w14:textId="77777777" w:rsidR="00AC6C6E" w:rsidRPr="00C379C8" w:rsidRDefault="000E57DC" w:rsidP="00AA646C">
            <w:r w:rsidRPr="00C379C8">
              <w:t>London</w:t>
            </w:r>
          </w:p>
          <w:p w14:paraId="757F627C" w14:textId="77777777" w:rsidR="00AC6C6E" w:rsidRPr="00C379C8" w:rsidRDefault="000E57DC" w:rsidP="00AA646C">
            <w:r w:rsidRPr="00C379C8">
              <w:t>SW1A 2DY</w:t>
            </w:r>
          </w:p>
          <w:p w14:paraId="32F22463" w14:textId="77777777" w:rsidR="00AC6C6E" w:rsidRPr="00C379C8" w:rsidRDefault="00374DE3" w:rsidP="00AA646C">
            <w:pPr>
              <w:spacing w:after="120"/>
            </w:pPr>
            <w:hyperlink r:id="rId9" w:history="1">
              <w:r w:rsidR="000E57DC" w:rsidRPr="00C379C8">
                <w:rPr>
                  <w:color w:val="0000FF"/>
                  <w:u w:val="single"/>
                </w:rPr>
                <w:t>tbtenquiriesuk@businessandtrade.gov.uk</w:t>
              </w:r>
            </w:hyperlink>
            <w:bookmarkEnd w:id="7"/>
          </w:p>
        </w:tc>
      </w:tr>
      <w:tr w:rsidR="00A165DB" w14:paraId="768E4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1ABB8" w14:textId="77777777" w:rsidR="00F85C99" w:rsidRPr="002F6A28" w:rsidRDefault="000E57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58E3A" w14:textId="77777777" w:rsidR="00F85C99" w:rsidRPr="0058336F" w:rsidRDefault="000E57D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165DB" w14:paraId="76B4B1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A7C8F" w14:textId="77777777" w:rsidR="00F85C99" w:rsidRPr="002F6A28" w:rsidRDefault="000E57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954FC" w14:textId="77777777" w:rsidR="00F85C99" w:rsidRPr="002F6A28" w:rsidRDefault="000E57D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</w:p>
          <w:p w14:paraId="16AE3BFD" w14:textId="77777777" w:rsidR="00EE3A11" w:rsidRPr="00C379C8" w:rsidRDefault="000E57DC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Wine made of fresh grapes, including fortified wines (HS: 2204)</w:t>
            </w:r>
          </w:p>
          <w:p w14:paraId="354016BA" w14:textId="77777777" w:rsidR="00EE3A11" w:rsidRPr="00C379C8" w:rsidRDefault="000E57DC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Other fermented beverages (for example, cider, perry, mead, sake (HS:2206)</w:t>
            </w:r>
            <w:bookmarkEnd w:id="22"/>
          </w:p>
        </w:tc>
      </w:tr>
      <w:tr w:rsidR="00A165DB" w14:paraId="773139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57285" w14:textId="77777777" w:rsidR="00F85C99" w:rsidRPr="002F6A28" w:rsidRDefault="000E57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70D98" w14:textId="77777777" w:rsidR="00F85C99" w:rsidRPr="002F6A28" w:rsidRDefault="000E57D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Wine (Amendment) (England) (No. 2) Regulations 2024; (4 page(s), in English)</w:t>
            </w:r>
            <w:bookmarkEnd w:id="24"/>
          </w:p>
        </w:tc>
      </w:tr>
      <w:tr w:rsidR="00A165DB" w14:paraId="0CC88A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09BA3" w14:textId="77777777" w:rsidR="00F85C99" w:rsidRPr="002F6A28" w:rsidRDefault="000E57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F9382" w14:textId="77777777" w:rsidR="00F85C99" w:rsidRPr="002F6A28" w:rsidRDefault="000E57D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Statutory Instrument, covering England only, is set to: </w:t>
            </w:r>
          </w:p>
          <w:p w14:paraId="059AAD29" w14:textId="77777777" w:rsidR="00FE448B" w:rsidRPr="00C379C8" w:rsidRDefault="000E57DC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 xml:space="preserve">Allow the </w:t>
            </w:r>
            <w:r w:rsidRPr="00C379C8">
              <w:rPr>
                <w:b/>
                <w:bCs/>
              </w:rPr>
              <w:t xml:space="preserve">transformation of imported wine products, </w:t>
            </w:r>
            <w:r w:rsidRPr="00C379C8">
              <w:t>i.e. for sweetening or carbonating bulk imported wine or produce wine from imported grapes.</w:t>
            </w:r>
          </w:p>
          <w:p w14:paraId="19F1A396" w14:textId="77777777" w:rsidR="00FE448B" w:rsidRPr="00C379C8" w:rsidRDefault="000E57DC" w:rsidP="002F6A28">
            <w:pPr>
              <w:numPr>
                <w:ilvl w:val="0"/>
                <w:numId w:val="18"/>
              </w:numPr>
              <w:spacing w:before="120" w:after="120"/>
            </w:pPr>
            <w:r w:rsidRPr="00C379C8">
              <w:t>Make some changes to</w:t>
            </w:r>
            <w:r w:rsidRPr="00C379C8">
              <w:rPr>
                <w:b/>
                <w:bCs/>
              </w:rPr>
              <w:t xml:space="preserve"> wine labelling rules</w:t>
            </w:r>
            <w:r w:rsidRPr="00C379C8">
              <w:t xml:space="preserve"> on the nature and origin of the products.</w:t>
            </w:r>
          </w:p>
          <w:p w14:paraId="661D72FA" w14:textId="77777777" w:rsidR="00FE448B" w:rsidRPr="00C379C8" w:rsidRDefault="000E57DC" w:rsidP="002F6A28">
            <w:pPr>
              <w:numPr>
                <w:ilvl w:val="0"/>
                <w:numId w:val="19"/>
              </w:numPr>
              <w:spacing w:before="120" w:after="120"/>
            </w:pPr>
            <w:r w:rsidRPr="00C379C8">
              <w:t xml:space="preserve">Publish and update the list of approved </w:t>
            </w:r>
            <w:r w:rsidRPr="00C379C8">
              <w:rPr>
                <w:b/>
                <w:bCs/>
              </w:rPr>
              <w:t>oenological practices and processes</w:t>
            </w:r>
            <w:r w:rsidRPr="00C379C8">
              <w:t xml:space="preserve"> on GOV.UK.</w:t>
            </w:r>
          </w:p>
          <w:p w14:paraId="12D0D796" w14:textId="77777777" w:rsidR="00FE448B" w:rsidRPr="00C379C8" w:rsidRDefault="000E57DC" w:rsidP="002F6A28">
            <w:pPr>
              <w:numPr>
                <w:ilvl w:val="0"/>
                <w:numId w:val="20"/>
              </w:numPr>
              <w:spacing w:before="120" w:after="120"/>
            </w:pPr>
            <w:r w:rsidRPr="00C379C8">
              <w:t xml:space="preserve">Allow the production and marketing of </w:t>
            </w:r>
            <w:r w:rsidRPr="00C379C8">
              <w:rPr>
                <w:b/>
                <w:bCs/>
              </w:rPr>
              <w:t>no and low alcohol wine.</w:t>
            </w:r>
          </w:p>
          <w:p w14:paraId="70EB4525" w14:textId="77777777" w:rsidR="00FE448B" w:rsidRPr="00C379C8" w:rsidRDefault="000E57DC" w:rsidP="002F6A28">
            <w:pPr>
              <w:numPr>
                <w:ilvl w:val="0"/>
                <w:numId w:val="21"/>
              </w:numPr>
              <w:spacing w:before="120" w:after="120"/>
            </w:pPr>
            <w:r w:rsidRPr="00C379C8">
              <w:t xml:space="preserve">Make </w:t>
            </w:r>
            <w:r w:rsidRPr="00C379C8">
              <w:rPr>
                <w:b/>
                <w:bCs/>
              </w:rPr>
              <w:t>4.5% the minimum abv</w:t>
            </w:r>
            <w:r w:rsidRPr="00C379C8">
              <w:t xml:space="preserve"> (alcohol by volume) for all naturally produced wine.</w:t>
            </w:r>
            <w:bookmarkEnd w:id="26"/>
          </w:p>
        </w:tc>
      </w:tr>
      <w:tr w:rsidR="00A165DB" w14:paraId="06FFE3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0D73F" w14:textId="77777777" w:rsidR="00F85C99" w:rsidRPr="002F6A28" w:rsidRDefault="000E57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E4DF8" w14:textId="77777777" w:rsidR="00F85C99" w:rsidRPr="002F6A28" w:rsidRDefault="000E57D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</w:p>
          <w:p w14:paraId="72022B3C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t>To help meet consumer demand and support local employment.</w:t>
            </w:r>
          </w:p>
          <w:p w14:paraId="58419EA5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lastRenderedPageBreak/>
              <w:t>Ensure consumers remain clear on the nature and origin of the products they are purchasing.</w:t>
            </w:r>
          </w:p>
          <w:p w14:paraId="687017E6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t>Help producers access latest approved winemaking techniques.</w:t>
            </w:r>
          </w:p>
          <w:p w14:paraId="2F51CB57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t>Support wine in competing with beer and cider low and no alcohol alternatives as a mainstream consumer offering.</w:t>
            </w:r>
          </w:p>
          <w:p w14:paraId="6FF29AF3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t>Ensure parity in rules governing the production of Geographical Indication (GI) and non-GI wine.</w:t>
            </w:r>
          </w:p>
          <w:p w14:paraId="492F4E05" w14:textId="77777777" w:rsidR="00EE3A11" w:rsidRPr="00C379C8" w:rsidRDefault="000E57DC" w:rsidP="002F6A28">
            <w:pPr>
              <w:numPr>
                <w:ilvl w:val="0"/>
                <w:numId w:val="22"/>
              </w:numPr>
              <w:spacing w:before="120" w:after="120"/>
            </w:pPr>
            <w:r w:rsidRPr="00C379C8">
              <w:t>To support trade practices that help to reduce CO2 emissions.</w:t>
            </w:r>
          </w:p>
          <w:p w14:paraId="36D0E577" w14:textId="77777777" w:rsidR="00EE3A11" w:rsidRPr="00C379C8" w:rsidRDefault="000E57DC" w:rsidP="002F6A28">
            <w:pPr>
              <w:spacing w:before="120" w:after="120"/>
            </w:pPr>
            <w:r w:rsidRPr="00C379C8">
              <w:t>Consumer information, labelling; Reducing trade barriers and facilitating trade; Cost saving and productivity enhancement</w:t>
            </w:r>
            <w:bookmarkEnd w:id="28"/>
          </w:p>
        </w:tc>
      </w:tr>
      <w:tr w:rsidR="00A165DB" w14:paraId="498C74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F7EA7" w14:textId="77777777" w:rsidR="00F85C99" w:rsidRPr="002F6A28" w:rsidRDefault="000E57D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A8E4E" w14:textId="77777777" w:rsidR="00086AF5" w:rsidRPr="00086AF5" w:rsidRDefault="000E57DC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74E224AB" w14:textId="77777777" w:rsidR="00EE3A11" w:rsidRPr="002F6A28" w:rsidRDefault="000E57DC" w:rsidP="007F13E8">
            <w:pPr>
              <w:numPr>
                <w:ilvl w:val="0"/>
                <w:numId w:val="23"/>
              </w:numPr>
              <w:spacing w:before="120" w:after="120"/>
            </w:pPr>
            <w:r w:rsidRPr="002F6A28">
              <w:rPr>
                <w:i/>
                <w:iCs/>
              </w:rPr>
              <w:t>Draft Statutory Instrument</w:t>
            </w:r>
            <w:r w:rsidRPr="002F6A28">
              <w:t xml:space="preserve"> 'The Wine (Amendment) (England) (No. 2) Regulations 2024'</w:t>
            </w:r>
          </w:p>
          <w:p w14:paraId="22A5A843" w14:textId="77777777" w:rsidR="00EE3A11" w:rsidRPr="002F6A28" w:rsidRDefault="000E57DC" w:rsidP="007F13E8">
            <w:pPr>
              <w:numPr>
                <w:ilvl w:val="0"/>
                <w:numId w:val="23"/>
              </w:numPr>
              <w:spacing w:before="120" w:after="120"/>
            </w:pPr>
            <w:r w:rsidRPr="002F6A28">
              <w:rPr>
                <w:i/>
                <w:iCs/>
              </w:rPr>
              <w:t xml:space="preserve">Legislation this SI is amending: </w:t>
            </w:r>
          </w:p>
          <w:p w14:paraId="4834DACC" w14:textId="77777777" w:rsidR="00EE3A11" w:rsidRPr="002F6A28" w:rsidRDefault="00374DE3" w:rsidP="007F13E8">
            <w:pPr>
              <w:numPr>
                <w:ilvl w:val="0"/>
                <w:numId w:val="23"/>
              </w:numPr>
              <w:spacing w:before="120" w:after="120"/>
            </w:pPr>
            <w:hyperlink r:id="rId10" w:history="1">
              <w:r w:rsidR="000E57DC" w:rsidRPr="002F6A28">
                <w:rPr>
                  <w:color w:val="0000FF"/>
                  <w:u w:val="single"/>
                </w:rPr>
                <w:t>Council Regulation (EU) No 1308/2013</w:t>
              </w:r>
            </w:hyperlink>
          </w:p>
          <w:p w14:paraId="2EBA9063" w14:textId="77777777" w:rsidR="00EE3A11" w:rsidRPr="002F6A28" w:rsidRDefault="00374DE3" w:rsidP="007F13E8">
            <w:pPr>
              <w:numPr>
                <w:ilvl w:val="0"/>
                <w:numId w:val="23"/>
              </w:numPr>
              <w:spacing w:before="120" w:after="120"/>
            </w:pPr>
            <w:hyperlink r:id="rId11" w:history="1">
              <w:r w:rsidR="000E57DC" w:rsidRPr="002F6A28">
                <w:rPr>
                  <w:color w:val="0000FF"/>
                  <w:u w:val="single"/>
                </w:rPr>
                <w:t>Commission Delegated Regulation (EU) 2019/33</w:t>
              </w:r>
            </w:hyperlink>
          </w:p>
          <w:p w14:paraId="4641FC5B" w14:textId="77777777" w:rsidR="00EE3A11" w:rsidRPr="002F6A28" w:rsidRDefault="00374DE3" w:rsidP="007F13E8">
            <w:pPr>
              <w:numPr>
                <w:ilvl w:val="0"/>
                <w:numId w:val="23"/>
              </w:numPr>
              <w:spacing w:before="120" w:after="120"/>
            </w:pPr>
            <w:hyperlink r:id="rId12" w:history="1">
              <w:r w:rsidR="000E57DC" w:rsidRPr="002F6A28">
                <w:rPr>
                  <w:color w:val="0000FF"/>
                  <w:u w:val="single"/>
                </w:rPr>
                <w:t>Commission Delegated Regulation (EU) 2019/934</w:t>
              </w:r>
            </w:hyperlink>
          </w:p>
          <w:p w14:paraId="6C7B1974" w14:textId="77777777" w:rsidR="00EE3A11" w:rsidRPr="002F6A28" w:rsidRDefault="000E57DC" w:rsidP="007F13E8">
            <w:pPr>
              <w:spacing w:before="120" w:after="120"/>
              <w:rPr>
                <w:i/>
                <w:iCs/>
              </w:rPr>
            </w:pPr>
            <w:r w:rsidRPr="002F6A28">
              <w:rPr>
                <w:i/>
                <w:iCs/>
              </w:rPr>
              <w:t>Previous consultation and consultation response (2023):</w:t>
            </w:r>
            <w:r w:rsidRPr="002F6A28">
              <w:t xml:space="preserve"> </w:t>
            </w:r>
            <w:hyperlink r:id="rId13" w:history="1">
              <w:r w:rsidRPr="002F6A28">
                <w:rPr>
                  <w:color w:val="0000FF"/>
                  <w:u w:val="single"/>
                </w:rPr>
                <w:t>Wine: reforms to retained EU law - GOV.UK (www.gov.uk)</w:t>
              </w:r>
            </w:hyperlink>
            <w:bookmarkEnd w:id="30"/>
          </w:p>
        </w:tc>
      </w:tr>
      <w:tr w:rsidR="00A165DB" w14:paraId="1BB42C7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3C15F" w14:textId="77777777" w:rsidR="00EE3A11" w:rsidRPr="002F6A28" w:rsidRDefault="000E57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E34C7" w14:textId="77777777" w:rsidR="00EE3A11" w:rsidRPr="002F6A28" w:rsidRDefault="000E57D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November 2024</w:t>
            </w:r>
            <w:bookmarkEnd w:id="33"/>
          </w:p>
          <w:p w14:paraId="783B72E8" w14:textId="77777777" w:rsidR="00EE3A11" w:rsidRPr="002F6A28" w:rsidRDefault="000E57D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May 2025</w:t>
            </w:r>
            <w:bookmarkEnd w:id="36"/>
          </w:p>
        </w:tc>
      </w:tr>
      <w:tr w:rsidR="00A165DB" w14:paraId="6C2A8E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A8035" w14:textId="77777777" w:rsidR="00F85C99" w:rsidRPr="002F6A28" w:rsidRDefault="000E57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56D30" w14:textId="77777777" w:rsidR="00F85C99" w:rsidRPr="002F6A28" w:rsidRDefault="000E57D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165DB" w14:paraId="78919F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7AB6EF8" w14:textId="77777777" w:rsidR="00F85C99" w:rsidRPr="002F6A28" w:rsidRDefault="000E57D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CCFF54" w14:textId="77777777" w:rsidR="00F85C99" w:rsidRPr="002F6A28" w:rsidRDefault="000E57D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16C0E2F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UK TBT Enquiry Point</w:t>
            </w:r>
          </w:p>
          <w:p w14:paraId="696904A7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Trade Policy, Implementation and Negotiations</w:t>
            </w:r>
          </w:p>
          <w:p w14:paraId="7CE463DD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Business and Trade</w:t>
            </w:r>
          </w:p>
          <w:p w14:paraId="60D81663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Old Admiralty Building</w:t>
            </w:r>
          </w:p>
          <w:p w14:paraId="5CDFAC9B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London</w:t>
            </w:r>
          </w:p>
          <w:p w14:paraId="0BED8B95" w14:textId="77777777" w:rsidR="00EE3A11" w:rsidRPr="00A12DDE" w:rsidRDefault="000E57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SW1A 2DY</w:t>
            </w:r>
          </w:p>
          <w:p w14:paraId="33107B5E" w14:textId="77777777" w:rsidR="00EE3A11" w:rsidRPr="00A12DDE" w:rsidRDefault="00374DE3" w:rsidP="00B16145">
            <w:pPr>
              <w:keepNext/>
              <w:keepLines/>
              <w:rPr>
                <w:bCs/>
              </w:rPr>
            </w:pPr>
            <w:hyperlink r:id="rId14" w:history="1">
              <w:r w:rsidR="000E57DC" w:rsidRPr="00A12DDE">
                <w:rPr>
                  <w:bCs/>
                  <w:color w:val="0000FF"/>
                  <w:u w:val="single"/>
                </w:rPr>
                <w:t>tbtenquiriesuk@businessandtrade.gov.uk</w:t>
              </w:r>
            </w:hyperlink>
          </w:p>
          <w:p w14:paraId="1A598D62" w14:textId="77777777" w:rsidR="00EE3A11" w:rsidRPr="00A12DDE" w:rsidRDefault="00374DE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0E57DC" w:rsidRPr="00A12DDE">
                <w:rPr>
                  <w:bCs/>
                  <w:color w:val="0000FF"/>
                  <w:u w:val="single"/>
                </w:rPr>
                <w:t>https://members.wto.org/crnattachments/2024/TBT/GBR/24_02442_00_e.pdf</w:t>
              </w:r>
            </w:hyperlink>
            <w:bookmarkEnd w:id="42"/>
          </w:p>
        </w:tc>
      </w:tr>
    </w:tbl>
    <w:p w14:paraId="05B2F637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CCDD" w14:textId="77777777" w:rsidR="000E57DC" w:rsidRDefault="000E57DC">
      <w:r>
        <w:separator/>
      </w:r>
    </w:p>
  </w:endnote>
  <w:endnote w:type="continuationSeparator" w:id="0">
    <w:p w14:paraId="18844D03" w14:textId="77777777" w:rsidR="000E57DC" w:rsidRDefault="000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861B" w14:textId="77777777" w:rsidR="009239F7" w:rsidRPr="002F6A28" w:rsidRDefault="000E57D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ED69" w14:textId="77777777" w:rsidR="009239F7" w:rsidRPr="002F6A28" w:rsidRDefault="000E57D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B35A" w14:textId="77777777" w:rsidR="00EE3A11" w:rsidRPr="002F6A28" w:rsidRDefault="000E57D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247" w14:textId="77777777" w:rsidR="000E57DC" w:rsidRDefault="000E57DC">
      <w:r>
        <w:separator/>
      </w:r>
    </w:p>
  </w:footnote>
  <w:footnote w:type="continuationSeparator" w:id="0">
    <w:p w14:paraId="4FBE5B0F" w14:textId="77777777" w:rsidR="000E57DC" w:rsidRDefault="000E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BBB1" w14:textId="77777777" w:rsidR="009239F7" w:rsidRPr="002F6A28" w:rsidRDefault="000E57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B5C421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0C042" w14:textId="77777777" w:rsidR="009239F7" w:rsidRPr="002F6A28" w:rsidRDefault="000E57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BC4B2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04E1" w14:textId="77777777" w:rsidR="009239F7" w:rsidRPr="002F6A28" w:rsidRDefault="000E57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GBR</w:t>
    </w:r>
    <w:proofErr w:type="spellEnd"/>
    <w:r w:rsidRPr="002F6A28">
      <w:t>/80</w:t>
    </w:r>
    <w:bookmarkEnd w:id="43"/>
  </w:p>
  <w:p w14:paraId="04E62FB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C047D6" w14:textId="77777777" w:rsidR="009239F7" w:rsidRPr="002F6A28" w:rsidRDefault="000E57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90888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65DB" w14:paraId="04C2023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D4DC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EB7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165DB" w14:paraId="411C8A8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DB8ED6" w14:textId="77777777" w:rsidR="00ED54E0" w:rsidRPr="009239F7" w:rsidRDefault="000E57D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FCFA92" wp14:editId="3F259E7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8493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036A9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165DB" w14:paraId="2BD8301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FA4F8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C8DD21" w14:textId="77777777" w:rsidR="009239F7" w:rsidRPr="002F6A28" w:rsidRDefault="000E57D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GBR</w:t>
          </w:r>
          <w:proofErr w:type="spellEnd"/>
          <w:r w:rsidRPr="002F6A28">
            <w:rPr>
              <w:b/>
              <w:szCs w:val="16"/>
            </w:rPr>
            <w:t>/80</w:t>
          </w:r>
          <w:bookmarkEnd w:id="45"/>
        </w:p>
      </w:tc>
    </w:tr>
    <w:tr w:rsidR="00A165DB" w14:paraId="4CE94D8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A2B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7FB87" w14:textId="10017B7A" w:rsidR="00ED54E0" w:rsidRPr="009239F7" w:rsidRDefault="000E57D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2024</w:t>
          </w:r>
        </w:p>
      </w:tc>
    </w:tr>
    <w:tr w:rsidR="00A165DB" w14:paraId="487E892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50D618" w14:textId="2E173E89" w:rsidR="00ED54E0" w:rsidRPr="009239F7" w:rsidRDefault="000E57D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</w:t>
          </w:r>
          <w:r w:rsidR="00374DE3">
            <w:rPr>
              <w:color w:val="FF0000"/>
              <w:szCs w:val="16"/>
            </w:rPr>
            <w:t>-2886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320F38" w14:textId="77777777" w:rsidR="00ED54E0" w:rsidRPr="009239F7" w:rsidRDefault="000E57D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165DB" w14:paraId="17A11D3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612ECF" w14:textId="77777777" w:rsidR="00ED54E0" w:rsidRPr="009239F7" w:rsidRDefault="000E57D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D7C29" w14:textId="77777777" w:rsidR="00ED54E0" w:rsidRPr="002F6A28" w:rsidRDefault="000E57D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AEBA00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602F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B657E4" w:tentative="1">
      <w:start w:val="1"/>
      <w:numFmt w:val="lowerLetter"/>
      <w:lvlText w:val="%2."/>
      <w:lvlJc w:val="left"/>
      <w:pPr>
        <w:ind w:left="1080" w:hanging="360"/>
      </w:pPr>
    </w:lvl>
    <w:lvl w:ilvl="2" w:tplc="41967E0C" w:tentative="1">
      <w:start w:val="1"/>
      <w:numFmt w:val="lowerRoman"/>
      <w:lvlText w:val="%3."/>
      <w:lvlJc w:val="right"/>
      <w:pPr>
        <w:ind w:left="1800" w:hanging="180"/>
      </w:pPr>
    </w:lvl>
    <w:lvl w:ilvl="3" w:tplc="18E8C9CA" w:tentative="1">
      <w:start w:val="1"/>
      <w:numFmt w:val="decimal"/>
      <w:lvlText w:val="%4."/>
      <w:lvlJc w:val="left"/>
      <w:pPr>
        <w:ind w:left="2520" w:hanging="360"/>
      </w:pPr>
    </w:lvl>
    <w:lvl w:ilvl="4" w:tplc="07B289B4" w:tentative="1">
      <w:start w:val="1"/>
      <w:numFmt w:val="lowerLetter"/>
      <w:lvlText w:val="%5."/>
      <w:lvlJc w:val="left"/>
      <w:pPr>
        <w:ind w:left="3240" w:hanging="360"/>
      </w:pPr>
    </w:lvl>
    <w:lvl w:ilvl="5" w:tplc="4F46B608" w:tentative="1">
      <w:start w:val="1"/>
      <w:numFmt w:val="lowerRoman"/>
      <w:lvlText w:val="%6."/>
      <w:lvlJc w:val="right"/>
      <w:pPr>
        <w:ind w:left="3960" w:hanging="180"/>
      </w:pPr>
    </w:lvl>
    <w:lvl w:ilvl="6" w:tplc="FAC04CE0" w:tentative="1">
      <w:start w:val="1"/>
      <w:numFmt w:val="decimal"/>
      <w:lvlText w:val="%7."/>
      <w:lvlJc w:val="left"/>
      <w:pPr>
        <w:ind w:left="4680" w:hanging="360"/>
      </w:pPr>
    </w:lvl>
    <w:lvl w:ilvl="7" w:tplc="942CC6A4" w:tentative="1">
      <w:start w:val="1"/>
      <w:numFmt w:val="lowerLetter"/>
      <w:lvlText w:val="%8."/>
      <w:lvlJc w:val="left"/>
      <w:pPr>
        <w:ind w:left="5400" w:hanging="360"/>
      </w:pPr>
    </w:lvl>
    <w:lvl w:ilvl="8" w:tplc="1B8C10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63D526BC"/>
    <w:lvl w:ilvl="0" w:tplc="8FAAE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A07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1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8E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B05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028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B0CE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9E8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B40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2C46C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5C1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DED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8C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BCE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54C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1A31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CB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44A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E"/>
    <w:multiLevelType w:val="hybridMultilevel"/>
    <w:tmpl w:val="63D526BE"/>
    <w:lvl w:ilvl="0" w:tplc="7EA4C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72C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BA3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A6A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D0A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94B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E2F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108C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2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D526BF"/>
    <w:multiLevelType w:val="hybridMultilevel"/>
    <w:tmpl w:val="63D526BF"/>
    <w:lvl w:ilvl="0" w:tplc="F97CA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14D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A83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406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5497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45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F6B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DC63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ECD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D526C0"/>
    <w:multiLevelType w:val="hybridMultilevel"/>
    <w:tmpl w:val="63D526C0"/>
    <w:lvl w:ilvl="0" w:tplc="048E2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DE5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FEBF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BC2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C4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C25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CC9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3E1A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CB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3D526C1"/>
    <w:multiLevelType w:val="hybridMultilevel"/>
    <w:tmpl w:val="63D526C1"/>
    <w:lvl w:ilvl="0" w:tplc="EC425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025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EE8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DA9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66F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B89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B44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FAA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604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3D526C2"/>
    <w:multiLevelType w:val="hybridMultilevel"/>
    <w:tmpl w:val="63D526C2"/>
    <w:lvl w:ilvl="0" w:tplc="436AB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2A7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48A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1A0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0A3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A84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901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AA16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60C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22523394">
    <w:abstractNumId w:val="9"/>
  </w:num>
  <w:num w:numId="2" w16cid:durableId="118493517">
    <w:abstractNumId w:val="7"/>
  </w:num>
  <w:num w:numId="3" w16cid:durableId="58601058">
    <w:abstractNumId w:val="6"/>
  </w:num>
  <w:num w:numId="4" w16cid:durableId="433526278">
    <w:abstractNumId w:val="5"/>
  </w:num>
  <w:num w:numId="5" w16cid:durableId="404883977">
    <w:abstractNumId w:val="4"/>
  </w:num>
  <w:num w:numId="6" w16cid:durableId="997686214">
    <w:abstractNumId w:val="12"/>
  </w:num>
  <w:num w:numId="7" w16cid:durableId="798913127">
    <w:abstractNumId w:val="11"/>
  </w:num>
  <w:num w:numId="8" w16cid:durableId="1383169886">
    <w:abstractNumId w:val="10"/>
  </w:num>
  <w:num w:numId="9" w16cid:durableId="398791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861646">
    <w:abstractNumId w:val="13"/>
  </w:num>
  <w:num w:numId="11" w16cid:durableId="1522084593">
    <w:abstractNumId w:val="8"/>
  </w:num>
  <w:num w:numId="12" w16cid:durableId="1578972948">
    <w:abstractNumId w:val="3"/>
  </w:num>
  <w:num w:numId="13" w16cid:durableId="876159259">
    <w:abstractNumId w:val="2"/>
  </w:num>
  <w:num w:numId="14" w16cid:durableId="1390807718">
    <w:abstractNumId w:val="1"/>
  </w:num>
  <w:num w:numId="15" w16cid:durableId="566456304">
    <w:abstractNumId w:val="0"/>
  </w:num>
  <w:num w:numId="16" w16cid:durableId="970747481">
    <w:abstractNumId w:val="14"/>
  </w:num>
  <w:num w:numId="17" w16cid:durableId="1602640606">
    <w:abstractNumId w:val="15"/>
  </w:num>
  <w:num w:numId="18" w16cid:durableId="436679408">
    <w:abstractNumId w:val="16"/>
  </w:num>
  <w:num w:numId="19" w16cid:durableId="10953731">
    <w:abstractNumId w:val="17"/>
  </w:num>
  <w:num w:numId="20" w16cid:durableId="1922787957">
    <w:abstractNumId w:val="18"/>
  </w:num>
  <w:num w:numId="21" w16cid:durableId="2010716390">
    <w:abstractNumId w:val="19"/>
  </w:num>
  <w:num w:numId="22" w16cid:durableId="333537143">
    <w:abstractNumId w:val="20"/>
  </w:num>
  <w:num w:numId="23" w16cid:durableId="915087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0E57DC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74DE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05C6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4F5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65D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A7DC1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3A9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consultations/wine-reforms-to-retained-eu-la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uk/eur/2019/93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eur/2019/33/cont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GBR/24_02442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slation.gov.uk/eur/2013/1308/conten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tbtenquiriesuk@businessandtrade.gov.uk" TargetMode="External"/><Relationship Id="rId14" Type="http://schemas.openxmlformats.org/officeDocument/2006/relationships/hyperlink" Target="mailto:tbtenquiriesuk@businessandtrade.gov.uk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02B9-406B-4A9F-8A21-28F74CA7F9C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2024-04-04T08:00:00Z</dcterms:created>
  <dcterms:modified xsi:type="dcterms:W3CDTF">2024-04-04T08:39:00Z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