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E3DE" w14:textId="77777777" w:rsidR="009239F7" w:rsidRPr="002F6A28" w:rsidRDefault="00224F24" w:rsidP="002F6A28">
      <w:pPr>
        <w:pStyle w:val="Title"/>
        <w:rPr>
          <w:caps w:val="0"/>
          <w:kern w:val="0"/>
        </w:rPr>
      </w:pPr>
      <w:r w:rsidRPr="002F6A28">
        <w:rPr>
          <w:caps w:val="0"/>
          <w:kern w:val="0"/>
        </w:rPr>
        <w:t>NOTIFICATION</w:t>
      </w:r>
    </w:p>
    <w:p w14:paraId="5913A452" w14:textId="77777777" w:rsidR="009239F7" w:rsidRPr="002F6A28" w:rsidRDefault="00224F24" w:rsidP="002F6A28">
      <w:pPr>
        <w:jc w:val="center"/>
      </w:pPr>
      <w:r w:rsidRPr="002F6A28">
        <w:t>The following notification is being circulated in accordance with Article 10.6</w:t>
      </w:r>
    </w:p>
    <w:p w14:paraId="6193D48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41377" w14:paraId="13F69C85" w14:textId="77777777" w:rsidTr="0069259F">
        <w:tc>
          <w:tcPr>
            <w:tcW w:w="713" w:type="dxa"/>
            <w:tcBorders>
              <w:bottom w:val="single" w:sz="6" w:space="0" w:color="auto"/>
            </w:tcBorders>
            <w:shd w:val="clear" w:color="auto" w:fill="auto"/>
          </w:tcPr>
          <w:p w14:paraId="7F4DFB3D" w14:textId="77777777" w:rsidR="00F85C99" w:rsidRPr="002F6A28" w:rsidRDefault="00224F24" w:rsidP="002F6A28">
            <w:pPr>
              <w:spacing w:before="120" w:after="120"/>
              <w:jc w:val="left"/>
            </w:pPr>
            <w:r w:rsidRPr="002F6A28">
              <w:rPr>
                <w:b/>
              </w:rPr>
              <w:t>1.</w:t>
            </w:r>
          </w:p>
        </w:tc>
        <w:tc>
          <w:tcPr>
            <w:tcW w:w="8546" w:type="dxa"/>
            <w:tcBorders>
              <w:bottom w:val="single" w:sz="6" w:space="0" w:color="auto"/>
            </w:tcBorders>
            <w:shd w:val="clear" w:color="auto" w:fill="auto"/>
          </w:tcPr>
          <w:p w14:paraId="6DAC4114" w14:textId="77777777" w:rsidR="00F85C99" w:rsidRPr="002F6A28" w:rsidRDefault="00224F2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04498817" w14:textId="77777777" w:rsidR="00F85C99" w:rsidRPr="002F6A28" w:rsidRDefault="00224F2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41377" w:rsidRPr="00302FA7" w14:paraId="4120329F" w14:textId="77777777" w:rsidTr="0069259F">
        <w:tc>
          <w:tcPr>
            <w:tcW w:w="713" w:type="dxa"/>
            <w:tcBorders>
              <w:top w:val="single" w:sz="6" w:space="0" w:color="auto"/>
              <w:bottom w:val="single" w:sz="6" w:space="0" w:color="auto"/>
            </w:tcBorders>
            <w:shd w:val="clear" w:color="auto" w:fill="auto"/>
          </w:tcPr>
          <w:p w14:paraId="76DF5CB3" w14:textId="77777777" w:rsidR="00F85C99" w:rsidRPr="002F6A28" w:rsidRDefault="00224F2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1F43CAE" w14:textId="77777777" w:rsidR="00F85C99" w:rsidRPr="002F6A28" w:rsidRDefault="00224F2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41C8D094" w14:textId="77777777" w:rsidR="00F85C99" w:rsidRPr="002F6A28" w:rsidRDefault="00224F2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FF690DC" w14:textId="77777777" w:rsidR="00966901" w:rsidRPr="00D8600C" w:rsidRDefault="00224F24" w:rsidP="00AA646C">
            <w:pPr>
              <w:spacing w:after="120"/>
              <w:jc w:val="left"/>
              <w:rPr>
                <w:lang w:val="fr-CH"/>
              </w:rPr>
            </w:pPr>
            <w:r w:rsidRPr="00D8600C">
              <w:rPr>
                <w:lang w:val="fr-CH"/>
              </w:rPr>
              <w:t>European Commission,</w:t>
            </w:r>
            <w:r w:rsidRPr="00D8600C">
              <w:rPr>
                <w:lang w:val="fr-CH"/>
              </w:rPr>
              <w:br/>
              <w:t>EU-TBT Enquiry Point,</w:t>
            </w:r>
            <w:r w:rsidRPr="00D8600C">
              <w:rPr>
                <w:lang w:val="fr-CH"/>
              </w:rPr>
              <w:br/>
              <w:t>Fax: +(32) 2 299 80 43,</w:t>
            </w:r>
            <w:r w:rsidRPr="00D8600C">
              <w:rPr>
                <w:lang w:val="fr-CH"/>
              </w:rPr>
              <w:br/>
              <w:t xml:space="preserve">E-mail: </w:t>
            </w:r>
            <w:hyperlink r:id="rId7" w:history="1">
              <w:r w:rsidRPr="00D8600C">
                <w:rPr>
                  <w:color w:val="0000FF"/>
                  <w:u w:val="single"/>
                  <w:lang w:val="fr-CH"/>
                </w:rPr>
                <w:t>grow-eu-tbt@ec.europa.eu</w:t>
              </w:r>
            </w:hyperlink>
            <w:r w:rsidRPr="00D8600C">
              <w:rPr>
                <w:lang w:val="fr-CH"/>
              </w:rPr>
              <w:br/>
              <w:t xml:space="preserve">Website: </w:t>
            </w:r>
            <w:hyperlink r:id="rId8" w:history="1">
              <w:r w:rsidRPr="00D8600C">
                <w:rPr>
                  <w:color w:val="0000FF"/>
                  <w:u w:val="single"/>
                  <w:lang w:val="fr-CH"/>
                </w:rPr>
                <w:t>http://ec.europa.eu/growth/tools-databases/tbt/en/</w:t>
              </w:r>
            </w:hyperlink>
            <w:r w:rsidRPr="00D8600C">
              <w:rPr>
                <w:lang w:val="fr-CH"/>
              </w:rPr>
              <w:t xml:space="preserve"> </w:t>
            </w:r>
            <w:bookmarkEnd w:id="7"/>
          </w:p>
        </w:tc>
      </w:tr>
      <w:tr w:rsidR="00641377" w14:paraId="13F9BA09" w14:textId="77777777" w:rsidTr="0069259F">
        <w:tc>
          <w:tcPr>
            <w:tcW w:w="713" w:type="dxa"/>
            <w:tcBorders>
              <w:top w:val="single" w:sz="6" w:space="0" w:color="auto"/>
              <w:bottom w:val="single" w:sz="6" w:space="0" w:color="auto"/>
            </w:tcBorders>
            <w:shd w:val="clear" w:color="auto" w:fill="auto"/>
          </w:tcPr>
          <w:p w14:paraId="0B42CA6B" w14:textId="77777777" w:rsidR="00F85C99" w:rsidRPr="002F6A28" w:rsidRDefault="00224F2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C5C1762" w14:textId="77777777" w:rsidR="00F85C99" w:rsidRPr="0058336F" w:rsidRDefault="00224F2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641377" w14:paraId="3EF0A71E" w14:textId="77777777" w:rsidTr="0069259F">
        <w:tc>
          <w:tcPr>
            <w:tcW w:w="713" w:type="dxa"/>
            <w:tcBorders>
              <w:top w:val="single" w:sz="6" w:space="0" w:color="auto"/>
              <w:bottom w:val="single" w:sz="6" w:space="0" w:color="auto"/>
            </w:tcBorders>
            <w:shd w:val="clear" w:color="auto" w:fill="auto"/>
          </w:tcPr>
          <w:p w14:paraId="6E629DEB" w14:textId="77777777" w:rsidR="00F85C99" w:rsidRPr="002F6A28" w:rsidRDefault="00224F2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851387B" w14:textId="77777777" w:rsidR="00F85C99" w:rsidRPr="002F6A28" w:rsidRDefault="00224F2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1509, Olive oil and its fractions, whether or not refined, but not chemically modified; 1510, Other oils and their fractions, obtained solely from olives, whether or not refined, but not chemically modified, including blends of these oils or fractions with oils or fractions of heading 1509.; Edible oils and fats. Oilseeds (ICS 67.200)</w:t>
            </w:r>
            <w:bookmarkStart w:id="20" w:name="sps3a"/>
            <w:bookmarkEnd w:id="20"/>
          </w:p>
        </w:tc>
      </w:tr>
      <w:tr w:rsidR="00641377" w14:paraId="46F6A010" w14:textId="77777777" w:rsidTr="0069259F">
        <w:tc>
          <w:tcPr>
            <w:tcW w:w="713" w:type="dxa"/>
            <w:tcBorders>
              <w:top w:val="single" w:sz="6" w:space="0" w:color="auto"/>
              <w:bottom w:val="single" w:sz="6" w:space="0" w:color="auto"/>
            </w:tcBorders>
            <w:shd w:val="clear" w:color="auto" w:fill="auto"/>
          </w:tcPr>
          <w:p w14:paraId="3147FAF9" w14:textId="77777777" w:rsidR="00F85C99" w:rsidRPr="002F6A28" w:rsidRDefault="00224F2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173EA77" w14:textId="77777777" w:rsidR="00F85C99" w:rsidRPr="002F6A28" w:rsidRDefault="00224F2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Implementing Regulation laying down rules on conformity checks of marketing standards for olive oil and methods of analysis of the characteristics of olive oil (11 page(s), in English; 20 page(s), in English)</w:t>
            </w:r>
            <w:bookmarkStart w:id="22" w:name="sps5a"/>
            <w:bookmarkStart w:id="23" w:name="sps5c"/>
            <w:bookmarkStart w:id="24" w:name="sps5b"/>
            <w:bookmarkEnd w:id="22"/>
            <w:bookmarkEnd w:id="23"/>
            <w:bookmarkEnd w:id="24"/>
          </w:p>
        </w:tc>
      </w:tr>
      <w:tr w:rsidR="00641377" w14:paraId="507FA313" w14:textId="77777777" w:rsidTr="0069259F">
        <w:tc>
          <w:tcPr>
            <w:tcW w:w="713" w:type="dxa"/>
            <w:tcBorders>
              <w:top w:val="single" w:sz="6" w:space="0" w:color="auto"/>
              <w:bottom w:val="single" w:sz="6" w:space="0" w:color="auto"/>
            </w:tcBorders>
            <w:shd w:val="clear" w:color="auto" w:fill="auto"/>
          </w:tcPr>
          <w:p w14:paraId="7E674E90" w14:textId="77777777" w:rsidR="00F85C99" w:rsidRPr="002F6A28" w:rsidRDefault="00224F2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C3DF8D3" w14:textId="77777777" w:rsidR="00F85C99" w:rsidRPr="002F6A28" w:rsidRDefault="00224F2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act includes provisions from the current EU legislation on olive oil standards (Regulation (EEC) No 2568/91 and Implementing Regulation (EU) No 29/2012) which relate to conformity checks carried out by EU Member States' control authorities, collaboration on those checks, obligations of control authorities and operators as well as methods of analysis for determining the characteristics of olive oil.</w:t>
            </w:r>
          </w:p>
        </w:tc>
      </w:tr>
      <w:tr w:rsidR="00641377" w14:paraId="43553059" w14:textId="77777777" w:rsidTr="0069259F">
        <w:tc>
          <w:tcPr>
            <w:tcW w:w="713" w:type="dxa"/>
            <w:tcBorders>
              <w:top w:val="single" w:sz="6" w:space="0" w:color="auto"/>
              <w:bottom w:val="single" w:sz="6" w:space="0" w:color="auto"/>
            </w:tcBorders>
            <w:shd w:val="clear" w:color="auto" w:fill="auto"/>
          </w:tcPr>
          <w:p w14:paraId="4B9FE35F" w14:textId="77777777" w:rsidR="00F85C99" w:rsidRPr="002F6A28" w:rsidRDefault="00224F2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FE29AB0" w14:textId="77777777" w:rsidR="00F85C99" w:rsidRPr="002F6A28" w:rsidRDefault="00224F2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Regulation (EU) No 1308/2013 repealed and replaced Council Regulation (EC) No 1234/2007, Part II, Title II, Chapter I, Section 1 of Regulation (EU) No 1308/2013 lays down rules on marketing standards for olive oil and empowers the Commission to adopt delegated and implementing acts in that respect. In order to ensure the smooth functioning of the olive oil market in the new legal framework, certain rules had to be adopted by means of such acts. This act replaces Commission Regulation (EEC) No 2568/91 and Commission Implementing Regulation (EU) No 29/2012, which should therefore be repealed. This act only introduces minor clarifications and deletes obsolete provisions and aligns with the revised International Olive Oil Trade Standard for Olive Oils and Olive-Pomace Oils.; Reducing trade barriers and facilitating trade</w:t>
            </w:r>
            <w:bookmarkStart w:id="27" w:name="sps7f"/>
            <w:bookmarkEnd w:id="27"/>
          </w:p>
        </w:tc>
      </w:tr>
      <w:tr w:rsidR="00641377" w14:paraId="352BE60C" w14:textId="77777777" w:rsidTr="0069259F">
        <w:tc>
          <w:tcPr>
            <w:tcW w:w="713" w:type="dxa"/>
            <w:tcBorders>
              <w:top w:val="single" w:sz="6" w:space="0" w:color="auto"/>
              <w:bottom w:val="single" w:sz="6" w:space="0" w:color="auto"/>
            </w:tcBorders>
            <w:shd w:val="clear" w:color="auto" w:fill="auto"/>
          </w:tcPr>
          <w:p w14:paraId="362C9B14" w14:textId="77777777" w:rsidR="00F85C99" w:rsidRPr="002F6A28" w:rsidRDefault="00224F24"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8461273" w14:textId="77777777" w:rsidR="00072B36" w:rsidRPr="002F6A28" w:rsidRDefault="00224F2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33EAADB" w14:textId="77777777" w:rsidR="00F85C99" w:rsidRPr="002F6A28" w:rsidRDefault="00224F24" w:rsidP="009E75ED">
            <w:pPr>
              <w:spacing w:before="120" w:after="120"/>
            </w:pPr>
            <w:r w:rsidRPr="002F6A28">
              <w:rPr>
                <w:bCs/>
              </w:rPr>
              <w:t>Regulation (EU) No 1308/2013 of the European Parliament and of the Council of 17 December 2013 establishing a common organisation of the markets in agricultural products and repealing Council Regulations (EEC) No 922/72, (EEC) No 234/79, (EC) No 1037/2001 and (EC) No 1234/2007</w:t>
            </w:r>
          </w:p>
          <w:p w14:paraId="762D6EAB" w14:textId="77777777" w:rsidR="00966901" w:rsidRPr="002F6A28" w:rsidRDefault="00302FA7" w:rsidP="009E75ED">
            <w:pPr>
              <w:spacing w:after="120"/>
              <w:rPr>
                <w:bCs/>
              </w:rPr>
            </w:pPr>
            <w:hyperlink r:id="rId9" w:history="1">
              <w:r w:rsidR="00224F24" w:rsidRPr="002F6A28">
                <w:rPr>
                  <w:bCs/>
                  <w:color w:val="0000FF"/>
                  <w:u w:val="single"/>
                </w:rPr>
                <w:t>https://eur-lex.europa.eu/legal-content/EN/TXT/?uri=CELEX%3A02013R1308-20211207&amp;qid=1644418351560</w:t>
              </w:r>
            </w:hyperlink>
            <w:r w:rsidR="00224F24" w:rsidRPr="002F6A28">
              <w:rPr>
                <w:bCs/>
              </w:rPr>
              <w:t xml:space="preserve"> </w:t>
            </w:r>
          </w:p>
          <w:p w14:paraId="47FB9187" w14:textId="77777777" w:rsidR="00966901" w:rsidRPr="002F6A28" w:rsidRDefault="00224F24" w:rsidP="009E75ED">
            <w:pPr>
              <w:spacing w:after="120"/>
              <w:rPr>
                <w:bCs/>
              </w:rPr>
            </w:pPr>
            <w:r w:rsidRPr="002F6A28">
              <w:rPr>
                <w:bCs/>
              </w:rPr>
              <w:t>Commission Regulation (EEC) No 2568/91 of 11 July 1991 on the characteristics of olive oil and olive-residue oil and on the relevant methods of analysis:</w:t>
            </w:r>
          </w:p>
          <w:p w14:paraId="190AC82E" w14:textId="77777777" w:rsidR="00966901" w:rsidRPr="002F6A28" w:rsidRDefault="00302FA7" w:rsidP="009E75ED">
            <w:pPr>
              <w:spacing w:after="120"/>
              <w:rPr>
                <w:bCs/>
              </w:rPr>
            </w:pPr>
            <w:hyperlink r:id="rId10" w:history="1">
              <w:r w:rsidR="00224F24" w:rsidRPr="002F6A28">
                <w:rPr>
                  <w:bCs/>
                  <w:color w:val="0000FF"/>
                  <w:u w:val="single"/>
                </w:rPr>
                <w:t>https://eur-lex.europa.eu/legal-content/EN/TXT/?uri=CELEX%3A01991R2568-20191020</w:t>
              </w:r>
            </w:hyperlink>
            <w:r w:rsidR="00224F24" w:rsidRPr="002F6A28">
              <w:rPr>
                <w:bCs/>
              </w:rPr>
              <w:t xml:space="preserve"> </w:t>
            </w:r>
          </w:p>
          <w:p w14:paraId="4DAE41E9" w14:textId="77777777" w:rsidR="00966901" w:rsidRPr="002F6A28" w:rsidRDefault="00224F24" w:rsidP="009E75ED">
            <w:pPr>
              <w:spacing w:after="120"/>
              <w:rPr>
                <w:bCs/>
              </w:rPr>
            </w:pPr>
            <w:r w:rsidRPr="002F6A28">
              <w:rPr>
                <w:bCs/>
              </w:rPr>
              <w:t>Commission Implementing Regulation (EU) No 29/2012 of 13 January 2012 on marketing standards for olive oil:</w:t>
            </w:r>
            <w:r w:rsidRPr="002F6A28">
              <w:rPr>
                <w:bCs/>
              </w:rPr>
              <w:fldChar w:fldCharType="begin"/>
            </w:r>
            <w:r w:rsidRPr="002F6A28">
              <w:rPr>
                <w:bCs/>
              </w:rPr>
              <w:instrText xml:space="preserve"> HYPERLINK "https://eur-lex.europa.eu/legal-content/EN/ALL/?uri=CELEX%3A32012R0029" </w:instrText>
            </w:r>
            <w:r w:rsidRPr="002F6A28">
              <w:rPr>
                <w:bCs/>
              </w:rPr>
              <w:fldChar w:fldCharType="separate"/>
            </w:r>
          </w:p>
          <w:p w14:paraId="31236023" w14:textId="77777777" w:rsidR="00966901" w:rsidRPr="002F6A28" w:rsidRDefault="00302FA7" w:rsidP="009E75ED">
            <w:pPr>
              <w:spacing w:before="120" w:after="120"/>
              <w:rPr>
                <w:bCs/>
              </w:rPr>
            </w:pPr>
            <w:hyperlink r:id="rId11" w:history="1">
              <w:r w:rsidR="00224F24" w:rsidRPr="002F6A28">
                <w:rPr>
                  <w:bCs/>
                  <w:color w:val="0000FF"/>
                  <w:u w:val="single"/>
                </w:rPr>
                <w:t>https://eur-lex.europa.eu/legal-content/EN/ALL/?uri=CELEX%3A32012R0029</w:t>
              </w:r>
            </w:hyperlink>
            <w:r w:rsidR="00224F24" w:rsidRPr="002F6A28">
              <w:rPr>
                <w:bCs/>
              </w:rPr>
              <w:fldChar w:fldCharType="end"/>
            </w:r>
            <w:r w:rsidR="00224F24" w:rsidRPr="002F6A28">
              <w:rPr>
                <w:bCs/>
              </w:rPr>
              <w:t xml:space="preserve"> </w:t>
            </w:r>
            <w:bookmarkStart w:id="29" w:name="sps9a"/>
            <w:bookmarkStart w:id="30" w:name="sps9b"/>
            <w:bookmarkEnd w:id="29"/>
            <w:bookmarkEnd w:id="30"/>
          </w:p>
        </w:tc>
      </w:tr>
      <w:tr w:rsidR="00641377" w14:paraId="7DD15039" w14:textId="77777777" w:rsidTr="00AE6CC8">
        <w:trPr>
          <w:cantSplit/>
        </w:trPr>
        <w:tc>
          <w:tcPr>
            <w:tcW w:w="713" w:type="dxa"/>
            <w:tcBorders>
              <w:top w:val="single" w:sz="6" w:space="0" w:color="auto"/>
              <w:bottom w:val="single" w:sz="6" w:space="0" w:color="auto"/>
            </w:tcBorders>
            <w:shd w:val="clear" w:color="auto" w:fill="auto"/>
          </w:tcPr>
          <w:p w14:paraId="70253133" w14:textId="77777777" w:rsidR="00EE3A11" w:rsidRPr="002F6A28" w:rsidRDefault="00224F2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DDD5F5F" w14:textId="77777777" w:rsidR="00EE3A11" w:rsidRPr="002F6A28" w:rsidRDefault="00224F2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June 2022</w:t>
            </w:r>
            <w:bookmarkEnd w:id="33"/>
          </w:p>
          <w:p w14:paraId="10A0A471" w14:textId="77777777" w:rsidR="00EE3A11" w:rsidRPr="002F6A28" w:rsidRDefault="00224F2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 xml:space="preserve">One day following that of its publication in the Official Journal of the EU </w:t>
            </w:r>
            <w:bookmarkEnd w:id="36"/>
          </w:p>
        </w:tc>
      </w:tr>
      <w:tr w:rsidR="00641377" w14:paraId="6E6419A7" w14:textId="77777777" w:rsidTr="0069259F">
        <w:tc>
          <w:tcPr>
            <w:tcW w:w="713" w:type="dxa"/>
            <w:tcBorders>
              <w:top w:val="single" w:sz="6" w:space="0" w:color="auto"/>
              <w:bottom w:val="single" w:sz="6" w:space="0" w:color="auto"/>
            </w:tcBorders>
            <w:shd w:val="clear" w:color="auto" w:fill="auto"/>
          </w:tcPr>
          <w:p w14:paraId="61FF9E5B" w14:textId="77777777" w:rsidR="00F85C99" w:rsidRPr="002F6A28" w:rsidRDefault="00224F2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66AE872" w14:textId="77777777" w:rsidR="00F85C99" w:rsidRPr="002F6A28" w:rsidRDefault="00224F24" w:rsidP="002F6A28">
            <w:pPr>
              <w:spacing w:before="120" w:after="120"/>
            </w:pPr>
            <w:bookmarkStart w:id="37" w:name="X_TBT_Reg_10A"/>
            <w:r w:rsidRPr="002F6A28">
              <w:rPr>
                <w:b/>
              </w:rPr>
              <w:t>Final date for comments</w:t>
            </w:r>
            <w:bookmarkEnd w:id="37"/>
            <w:r w:rsidRPr="002F6A28">
              <w:rPr>
                <w:b/>
              </w:rPr>
              <w:t>:</w:t>
            </w:r>
            <w:r w:rsidR="00EE3A11" w:rsidRPr="00C379C8">
              <w:t xml:space="preserve"> 60 days from notification</w:t>
            </w:r>
            <w:bookmarkStart w:id="38" w:name="sps12a"/>
            <w:bookmarkEnd w:id="38"/>
          </w:p>
        </w:tc>
      </w:tr>
      <w:tr w:rsidR="00641377" w14:paraId="0567EC58" w14:textId="77777777" w:rsidTr="0069259F">
        <w:tc>
          <w:tcPr>
            <w:tcW w:w="713" w:type="dxa"/>
            <w:tcBorders>
              <w:top w:val="single" w:sz="6" w:space="0" w:color="auto"/>
            </w:tcBorders>
            <w:shd w:val="clear" w:color="auto" w:fill="auto"/>
          </w:tcPr>
          <w:p w14:paraId="11391D5F" w14:textId="77777777" w:rsidR="00F85C99" w:rsidRPr="002F6A28" w:rsidRDefault="00224F2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728892C" w14:textId="77777777" w:rsidR="00F85C99" w:rsidRPr="002F6A28" w:rsidRDefault="00224F2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 xml:space="preserve">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492337A6" w14:textId="77777777" w:rsidR="00966901" w:rsidRPr="002F6A28" w:rsidRDefault="00224F24"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2" w:history="1">
              <w:r w:rsidRPr="002F6A28">
                <w:rPr>
                  <w:color w:val="0000FF"/>
                  <w:u w:val="single"/>
                </w:rPr>
                <w:t>grow-eu-tbt@ec.europa.eu</w:t>
              </w:r>
            </w:hyperlink>
            <w:r w:rsidRPr="002F6A28">
              <w:br/>
            </w:r>
            <w:r w:rsidRPr="002F6A28">
              <w:br/>
              <w:t xml:space="preserve">The text is available on the EU-TBT Website : </w:t>
            </w:r>
            <w:hyperlink r:id="rId13" w:history="1">
              <w:r w:rsidRPr="002F6A28">
                <w:rPr>
                  <w:color w:val="0000FF"/>
                  <w:u w:val="single"/>
                </w:rPr>
                <w:t>http://ec.europa.eu/growth/tools-databases/tbt/en/</w:t>
              </w:r>
            </w:hyperlink>
          </w:p>
          <w:p w14:paraId="671AACE6" w14:textId="77777777" w:rsidR="00966901" w:rsidRPr="002F6A28" w:rsidRDefault="00302FA7" w:rsidP="00B16145">
            <w:pPr>
              <w:keepNext/>
              <w:keepLines/>
              <w:spacing w:before="120" w:after="120"/>
              <w:jc w:val="left"/>
            </w:pPr>
            <w:hyperlink r:id="rId14" w:history="1">
              <w:r w:rsidR="00224F24" w:rsidRPr="002F6A28">
                <w:rPr>
                  <w:color w:val="0000FF"/>
                  <w:u w:val="single"/>
                </w:rPr>
                <w:t>https://members.wto.org/crnattachments/2022/TBT/EU/22_2167_00_e.pdf</w:t>
              </w:r>
            </w:hyperlink>
            <w:r w:rsidR="00224F24" w:rsidRPr="002F6A28">
              <w:br/>
            </w:r>
            <w:hyperlink r:id="rId15" w:history="1">
              <w:r w:rsidR="00224F24" w:rsidRPr="002F6A28">
                <w:rPr>
                  <w:color w:val="0000FF"/>
                  <w:u w:val="single"/>
                </w:rPr>
                <w:t>https://members.wto.org/crnattachments/2022/TBT/EU/22_2167_01_e.pdf</w:t>
              </w:r>
            </w:hyperlink>
            <w:bookmarkEnd w:id="42"/>
          </w:p>
        </w:tc>
      </w:tr>
    </w:tbl>
    <w:p w14:paraId="7EE297F3"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C74E" w14:textId="77777777" w:rsidR="00810D15" w:rsidRDefault="00224F24">
      <w:r>
        <w:separator/>
      </w:r>
    </w:p>
  </w:endnote>
  <w:endnote w:type="continuationSeparator" w:id="0">
    <w:p w14:paraId="6B688043" w14:textId="77777777" w:rsidR="00810D15" w:rsidRDefault="0022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F6F6" w14:textId="77777777" w:rsidR="009239F7" w:rsidRPr="002F6A28" w:rsidRDefault="00224F2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1207" w14:textId="77777777" w:rsidR="009239F7" w:rsidRPr="002F6A28" w:rsidRDefault="00224F2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802C" w14:textId="77777777" w:rsidR="00EE3A11" w:rsidRPr="002F6A28" w:rsidRDefault="00224F2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3704" w14:textId="77777777" w:rsidR="00810D15" w:rsidRDefault="00224F24">
      <w:r>
        <w:separator/>
      </w:r>
    </w:p>
  </w:footnote>
  <w:footnote w:type="continuationSeparator" w:id="0">
    <w:p w14:paraId="5657D44A" w14:textId="77777777" w:rsidR="00810D15" w:rsidRDefault="0022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5614" w14:textId="77777777" w:rsidR="009239F7" w:rsidRPr="002F6A28" w:rsidRDefault="00224F24" w:rsidP="009239F7">
    <w:pPr>
      <w:pStyle w:val="Header"/>
      <w:pBdr>
        <w:bottom w:val="single" w:sz="4" w:space="1" w:color="auto"/>
      </w:pBdr>
      <w:tabs>
        <w:tab w:val="clear" w:pos="4513"/>
        <w:tab w:val="clear" w:pos="9027"/>
      </w:tabs>
      <w:jc w:val="center"/>
    </w:pPr>
    <w:r w:rsidRPr="002F6A28">
      <w:t>tbtSymbol</w:t>
    </w:r>
  </w:p>
  <w:p w14:paraId="03CF1BD4" w14:textId="77777777" w:rsidR="009239F7" w:rsidRPr="002F6A28" w:rsidRDefault="009239F7" w:rsidP="009239F7">
    <w:pPr>
      <w:pStyle w:val="Header"/>
      <w:pBdr>
        <w:bottom w:val="single" w:sz="4" w:space="1" w:color="auto"/>
      </w:pBdr>
      <w:tabs>
        <w:tab w:val="clear" w:pos="4513"/>
        <w:tab w:val="clear" w:pos="9027"/>
      </w:tabs>
      <w:jc w:val="center"/>
    </w:pPr>
  </w:p>
  <w:p w14:paraId="3B6B5055" w14:textId="77777777" w:rsidR="009239F7" w:rsidRPr="002F6A28" w:rsidRDefault="00224F2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F5AF3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08FD" w14:textId="77777777" w:rsidR="009239F7" w:rsidRPr="002F6A28" w:rsidRDefault="00224F24" w:rsidP="009239F7">
    <w:pPr>
      <w:pStyle w:val="Header"/>
      <w:pBdr>
        <w:bottom w:val="single" w:sz="4" w:space="1" w:color="auto"/>
      </w:pBdr>
      <w:tabs>
        <w:tab w:val="clear" w:pos="4513"/>
        <w:tab w:val="clear" w:pos="9027"/>
      </w:tabs>
      <w:jc w:val="center"/>
    </w:pPr>
    <w:bookmarkStart w:id="43" w:name="spsSymbolHeader"/>
    <w:r w:rsidRPr="002F6A28">
      <w:t>G/TBT/N/EU/879</w:t>
    </w:r>
    <w:bookmarkEnd w:id="43"/>
  </w:p>
  <w:p w14:paraId="5990A41B" w14:textId="77777777" w:rsidR="009239F7" w:rsidRPr="002F6A28" w:rsidRDefault="009239F7" w:rsidP="009239F7">
    <w:pPr>
      <w:pStyle w:val="Header"/>
      <w:pBdr>
        <w:bottom w:val="single" w:sz="4" w:space="1" w:color="auto"/>
      </w:pBdr>
      <w:tabs>
        <w:tab w:val="clear" w:pos="4513"/>
        <w:tab w:val="clear" w:pos="9027"/>
      </w:tabs>
      <w:jc w:val="center"/>
    </w:pPr>
  </w:p>
  <w:p w14:paraId="1CF4839E" w14:textId="77777777" w:rsidR="009239F7" w:rsidRPr="002F6A28" w:rsidRDefault="00224F2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69F5C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1377" w14:paraId="7DB50644" w14:textId="77777777" w:rsidTr="008612A9">
      <w:trPr>
        <w:trHeight w:val="240"/>
        <w:jc w:val="center"/>
      </w:trPr>
      <w:tc>
        <w:tcPr>
          <w:tcW w:w="3794" w:type="dxa"/>
          <w:shd w:val="clear" w:color="auto" w:fill="FFFFFF"/>
          <w:tcMar>
            <w:left w:w="108" w:type="dxa"/>
            <w:right w:w="108" w:type="dxa"/>
          </w:tcMar>
          <w:vAlign w:val="center"/>
        </w:tcPr>
        <w:p w14:paraId="20EEE78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8353EC0" w14:textId="77777777" w:rsidR="00ED54E0" w:rsidRPr="009239F7" w:rsidRDefault="00ED54E0" w:rsidP="00B801E9">
          <w:pPr>
            <w:jc w:val="right"/>
            <w:rPr>
              <w:b/>
              <w:color w:val="FF0000"/>
              <w:szCs w:val="16"/>
            </w:rPr>
          </w:pPr>
        </w:p>
      </w:tc>
    </w:tr>
    <w:bookmarkEnd w:id="44"/>
    <w:tr w:rsidR="00641377" w14:paraId="7CEEFACA" w14:textId="77777777" w:rsidTr="008612A9">
      <w:trPr>
        <w:trHeight w:val="213"/>
        <w:jc w:val="center"/>
      </w:trPr>
      <w:tc>
        <w:tcPr>
          <w:tcW w:w="3794" w:type="dxa"/>
          <w:vMerge w:val="restart"/>
          <w:shd w:val="clear" w:color="auto" w:fill="FFFFFF"/>
          <w:tcMar>
            <w:left w:w="0" w:type="dxa"/>
            <w:right w:w="0" w:type="dxa"/>
          </w:tcMar>
        </w:tcPr>
        <w:p w14:paraId="24BE5996" w14:textId="77777777" w:rsidR="00ED54E0" w:rsidRPr="009239F7" w:rsidRDefault="00224F24" w:rsidP="00B801E9">
          <w:pPr>
            <w:jc w:val="left"/>
          </w:pPr>
          <w:r>
            <w:rPr>
              <w:noProof/>
              <w:lang w:eastAsia="en-GB"/>
            </w:rPr>
            <w:drawing>
              <wp:inline distT="0" distB="0" distL="0" distR="0" wp14:anchorId="6255A5CC" wp14:editId="0AC66DE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983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7FA523" w14:textId="77777777" w:rsidR="00ED54E0" w:rsidRPr="009239F7" w:rsidRDefault="00ED54E0" w:rsidP="00B801E9">
          <w:pPr>
            <w:jc w:val="right"/>
            <w:rPr>
              <w:b/>
              <w:szCs w:val="16"/>
            </w:rPr>
          </w:pPr>
        </w:p>
      </w:tc>
    </w:tr>
    <w:tr w:rsidR="00641377" w14:paraId="04A28361" w14:textId="77777777" w:rsidTr="008612A9">
      <w:trPr>
        <w:trHeight w:val="868"/>
        <w:jc w:val="center"/>
      </w:trPr>
      <w:tc>
        <w:tcPr>
          <w:tcW w:w="3794" w:type="dxa"/>
          <w:vMerge/>
          <w:shd w:val="clear" w:color="auto" w:fill="FFFFFF"/>
          <w:tcMar>
            <w:left w:w="108" w:type="dxa"/>
            <w:right w:w="108" w:type="dxa"/>
          </w:tcMar>
        </w:tcPr>
        <w:p w14:paraId="771817B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5366FA" w14:textId="77777777" w:rsidR="009239F7" w:rsidRPr="002F6A28" w:rsidRDefault="00224F24" w:rsidP="00B801E9">
          <w:pPr>
            <w:jc w:val="right"/>
            <w:rPr>
              <w:b/>
              <w:szCs w:val="16"/>
            </w:rPr>
          </w:pPr>
          <w:bookmarkStart w:id="45" w:name="bmkSymbols"/>
          <w:r w:rsidRPr="002F6A28">
            <w:rPr>
              <w:b/>
              <w:szCs w:val="16"/>
            </w:rPr>
            <w:t>G/TBT/N/EU/879</w:t>
          </w:r>
          <w:bookmarkEnd w:id="45"/>
        </w:p>
      </w:tc>
    </w:tr>
    <w:tr w:rsidR="00641377" w14:paraId="76F00A25" w14:textId="77777777" w:rsidTr="008612A9">
      <w:trPr>
        <w:trHeight w:val="240"/>
        <w:jc w:val="center"/>
      </w:trPr>
      <w:tc>
        <w:tcPr>
          <w:tcW w:w="3794" w:type="dxa"/>
          <w:vMerge/>
          <w:shd w:val="clear" w:color="auto" w:fill="FFFFFF"/>
          <w:tcMar>
            <w:left w:w="108" w:type="dxa"/>
            <w:right w:w="108" w:type="dxa"/>
          </w:tcMar>
          <w:vAlign w:val="center"/>
        </w:tcPr>
        <w:p w14:paraId="6996CBC5" w14:textId="77777777" w:rsidR="00ED54E0" w:rsidRPr="009239F7" w:rsidRDefault="00ED54E0" w:rsidP="00B801E9"/>
      </w:tc>
      <w:tc>
        <w:tcPr>
          <w:tcW w:w="5448" w:type="dxa"/>
          <w:gridSpan w:val="2"/>
          <w:shd w:val="clear" w:color="auto" w:fill="FFFFFF"/>
          <w:tcMar>
            <w:left w:w="108" w:type="dxa"/>
            <w:right w:w="108" w:type="dxa"/>
          </w:tcMar>
          <w:vAlign w:val="center"/>
        </w:tcPr>
        <w:p w14:paraId="591432DC" w14:textId="31676C5D" w:rsidR="00ED54E0" w:rsidRPr="009239F7" w:rsidRDefault="00224F24" w:rsidP="00B801E9">
          <w:pPr>
            <w:jc w:val="right"/>
            <w:rPr>
              <w:szCs w:val="16"/>
            </w:rPr>
          </w:pPr>
          <w:bookmarkStart w:id="46" w:name="spsDateDistribution"/>
          <w:bookmarkStart w:id="47" w:name="bmkDate"/>
          <w:bookmarkEnd w:id="46"/>
          <w:bookmarkEnd w:id="47"/>
          <w:r>
            <w:rPr>
              <w:szCs w:val="16"/>
            </w:rPr>
            <w:t>11 March 2022</w:t>
          </w:r>
        </w:p>
      </w:tc>
    </w:tr>
    <w:tr w:rsidR="00641377" w14:paraId="4488652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C220AE" w14:textId="1347645A" w:rsidR="00ED54E0" w:rsidRPr="009239F7" w:rsidRDefault="00224F24"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302FA7">
            <w:rPr>
              <w:color w:val="FF0000"/>
              <w:szCs w:val="16"/>
            </w:rPr>
            <w:t>2201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F6C9B23" w14:textId="77777777" w:rsidR="00ED54E0" w:rsidRPr="009239F7" w:rsidRDefault="00224F2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41377" w14:paraId="563E2AE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9D8866" w14:textId="77777777" w:rsidR="00ED54E0" w:rsidRPr="009239F7" w:rsidRDefault="00224F2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98674DE" w14:textId="77777777" w:rsidR="00ED54E0" w:rsidRPr="002F6A28" w:rsidRDefault="00224F2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2A000FD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7842F4">
      <w:start w:val="1"/>
      <w:numFmt w:val="decimal"/>
      <w:pStyle w:val="SummaryText"/>
      <w:lvlText w:val="%1."/>
      <w:lvlJc w:val="left"/>
      <w:pPr>
        <w:ind w:left="360" w:hanging="360"/>
      </w:pPr>
    </w:lvl>
    <w:lvl w:ilvl="1" w:tplc="20EA29EC" w:tentative="1">
      <w:start w:val="1"/>
      <w:numFmt w:val="lowerLetter"/>
      <w:lvlText w:val="%2."/>
      <w:lvlJc w:val="left"/>
      <w:pPr>
        <w:ind w:left="1080" w:hanging="360"/>
      </w:pPr>
    </w:lvl>
    <w:lvl w:ilvl="2" w:tplc="B106D3AC" w:tentative="1">
      <w:start w:val="1"/>
      <w:numFmt w:val="lowerRoman"/>
      <w:lvlText w:val="%3."/>
      <w:lvlJc w:val="right"/>
      <w:pPr>
        <w:ind w:left="1800" w:hanging="180"/>
      </w:pPr>
    </w:lvl>
    <w:lvl w:ilvl="3" w:tplc="026C3C1E" w:tentative="1">
      <w:start w:val="1"/>
      <w:numFmt w:val="decimal"/>
      <w:lvlText w:val="%4."/>
      <w:lvlJc w:val="left"/>
      <w:pPr>
        <w:ind w:left="2520" w:hanging="360"/>
      </w:pPr>
    </w:lvl>
    <w:lvl w:ilvl="4" w:tplc="DF9AA6A4" w:tentative="1">
      <w:start w:val="1"/>
      <w:numFmt w:val="lowerLetter"/>
      <w:lvlText w:val="%5."/>
      <w:lvlJc w:val="left"/>
      <w:pPr>
        <w:ind w:left="3240" w:hanging="360"/>
      </w:pPr>
    </w:lvl>
    <w:lvl w:ilvl="5" w:tplc="8626CDA0" w:tentative="1">
      <w:start w:val="1"/>
      <w:numFmt w:val="lowerRoman"/>
      <w:lvlText w:val="%6."/>
      <w:lvlJc w:val="right"/>
      <w:pPr>
        <w:ind w:left="3960" w:hanging="180"/>
      </w:pPr>
    </w:lvl>
    <w:lvl w:ilvl="6" w:tplc="32369328" w:tentative="1">
      <w:start w:val="1"/>
      <w:numFmt w:val="decimal"/>
      <w:lvlText w:val="%7."/>
      <w:lvlJc w:val="left"/>
      <w:pPr>
        <w:ind w:left="4680" w:hanging="360"/>
      </w:pPr>
    </w:lvl>
    <w:lvl w:ilvl="7" w:tplc="F35EF866" w:tentative="1">
      <w:start w:val="1"/>
      <w:numFmt w:val="lowerLetter"/>
      <w:lvlText w:val="%8."/>
      <w:lvlJc w:val="left"/>
      <w:pPr>
        <w:ind w:left="5400" w:hanging="360"/>
      </w:pPr>
    </w:lvl>
    <w:lvl w:ilvl="8" w:tplc="29AE79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24F24"/>
    <w:rsid w:val="00233408"/>
    <w:rsid w:val="00267723"/>
    <w:rsid w:val="00270637"/>
    <w:rsid w:val="0027067B"/>
    <w:rsid w:val="002D21E3"/>
    <w:rsid w:val="002E174F"/>
    <w:rsid w:val="002F6A28"/>
    <w:rsid w:val="00302FA7"/>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1377"/>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0D15"/>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66901"/>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8600C"/>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9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ec.europa.eu/growth/tools-databases/tbt/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grow-eu-tbt@ec.europa.eu" TargetMode="External"/><Relationship Id="rId12" Type="http://schemas.openxmlformats.org/officeDocument/2006/relationships/hyperlink" Target="mailto:grow-eu-tbt@ec.europa.e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ALL/?uri=CELEX%3A32012R0029" TargetMode="External"/><Relationship Id="rId5" Type="http://schemas.openxmlformats.org/officeDocument/2006/relationships/footnotes" Target="footnotes.xml"/><Relationship Id="rId15" Type="http://schemas.openxmlformats.org/officeDocument/2006/relationships/hyperlink" Target="https://members.wto.org/crnattachments/2022/TBT/EU/22_2167_01_e.pdf" TargetMode="External"/><Relationship Id="rId23" Type="http://schemas.openxmlformats.org/officeDocument/2006/relationships/theme" Target="theme/theme1.xml"/><Relationship Id="rId10" Type="http://schemas.openxmlformats.org/officeDocument/2006/relationships/hyperlink" Target="https://eur-lex.europa.eu/legal-content/EN/TXT/?uri=CELEX%3A01991R2568-2019102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ur-lex.europa.eu/legal-content/EN/TXT/?uri=CELEX%3A02013R1308-20211207&amp;qid=1644418351560" TargetMode="External"/><Relationship Id="rId14" Type="http://schemas.openxmlformats.org/officeDocument/2006/relationships/hyperlink" Target="https://members.wto.org/crnattachments/2022/TBT/EU/22_2167_00_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3744</Characters>
  <Application>Microsoft Office Word</Application>
  <DocSecurity>0</DocSecurity>
  <Lines>81</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2022-03-10T16:13:00Z</dcterms:created>
  <dcterms:modified xsi:type="dcterms:W3CDTF">2022-03-11T07:15:00Z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