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3C9B" w14:textId="77777777" w:rsidR="009239F7" w:rsidRPr="002F6A28" w:rsidRDefault="00207D2C" w:rsidP="002F6A28">
      <w:pPr>
        <w:pStyle w:val="Title"/>
        <w:rPr>
          <w:caps w:val="0"/>
          <w:kern w:val="0"/>
        </w:rPr>
      </w:pPr>
      <w:r w:rsidRPr="002F6A28">
        <w:rPr>
          <w:caps w:val="0"/>
          <w:kern w:val="0"/>
        </w:rPr>
        <w:t>NOTIFICATION</w:t>
      </w:r>
    </w:p>
    <w:p w14:paraId="1866F907" w14:textId="77777777" w:rsidR="009239F7" w:rsidRPr="002F6A28" w:rsidRDefault="00207D2C" w:rsidP="002F6A28">
      <w:pPr>
        <w:jc w:val="center"/>
      </w:pPr>
      <w:r w:rsidRPr="002F6A28">
        <w:t>The following notification is being circulated in accordance with Article 10.6</w:t>
      </w:r>
    </w:p>
    <w:p w14:paraId="416C388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C6E2F" w14:paraId="65A82532" w14:textId="77777777" w:rsidTr="0069259F">
        <w:tc>
          <w:tcPr>
            <w:tcW w:w="713" w:type="dxa"/>
            <w:tcBorders>
              <w:bottom w:val="single" w:sz="6" w:space="0" w:color="auto"/>
            </w:tcBorders>
            <w:shd w:val="clear" w:color="auto" w:fill="auto"/>
          </w:tcPr>
          <w:p w14:paraId="6FC1EC68" w14:textId="77777777" w:rsidR="00F85C99" w:rsidRPr="002F6A28" w:rsidRDefault="00207D2C" w:rsidP="002F6A28">
            <w:pPr>
              <w:spacing w:before="120" w:after="120"/>
              <w:jc w:val="left"/>
            </w:pPr>
            <w:r w:rsidRPr="002F6A28">
              <w:rPr>
                <w:b/>
              </w:rPr>
              <w:t>1.</w:t>
            </w:r>
          </w:p>
        </w:tc>
        <w:tc>
          <w:tcPr>
            <w:tcW w:w="8546" w:type="dxa"/>
            <w:tcBorders>
              <w:bottom w:val="single" w:sz="6" w:space="0" w:color="auto"/>
            </w:tcBorders>
            <w:shd w:val="clear" w:color="auto" w:fill="auto"/>
          </w:tcPr>
          <w:p w14:paraId="7D974FA8" w14:textId="77777777" w:rsidR="00F85C99" w:rsidRPr="002F6A28" w:rsidRDefault="00207D2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30D7E63B" w14:textId="77777777" w:rsidR="00F85C99" w:rsidRPr="002F6A28" w:rsidRDefault="00207D2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C6E2F" w:rsidRPr="00E93049" w14:paraId="536D6742" w14:textId="77777777" w:rsidTr="0069259F">
        <w:tc>
          <w:tcPr>
            <w:tcW w:w="713" w:type="dxa"/>
            <w:tcBorders>
              <w:top w:val="single" w:sz="6" w:space="0" w:color="auto"/>
              <w:bottom w:val="single" w:sz="6" w:space="0" w:color="auto"/>
            </w:tcBorders>
            <w:shd w:val="clear" w:color="auto" w:fill="auto"/>
          </w:tcPr>
          <w:p w14:paraId="7EA7DF1A" w14:textId="77777777" w:rsidR="00F85C99" w:rsidRPr="002F6A28" w:rsidRDefault="00207D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926F6E3" w14:textId="77777777" w:rsidR="00F85C99" w:rsidRPr="002F6A28" w:rsidRDefault="00207D2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36DA217B" w14:textId="77777777" w:rsidR="00F85C99" w:rsidRPr="002F6A28" w:rsidRDefault="00207D2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9433C4E" w14:textId="77777777" w:rsidR="00583A29" w:rsidRPr="006B1940" w:rsidRDefault="00207D2C" w:rsidP="00AA646C">
            <w:pPr>
              <w:spacing w:after="120"/>
              <w:jc w:val="left"/>
              <w:rPr>
                <w:lang w:val="fr-CH"/>
              </w:rPr>
            </w:pPr>
            <w:r w:rsidRPr="006B1940">
              <w:rPr>
                <w:lang w:val="fr-CH"/>
              </w:rPr>
              <w:t>European Commission</w:t>
            </w:r>
            <w:r w:rsidRPr="006B1940">
              <w:rPr>
                <w:lang w:val="fr-CH"/>
              </w:rPr>
              <w:br/>
              <w:t>EU-TBT Enquiry Point</w:t>
            </w:r>
            <w:r w:rsidRPr="006B1940">
              <w:rPr>
                <w:lang w:val="fr-CH"/>
              </w:rPr>
              <w:br/>
              <w:t>Fax: +(32) 2 299 80 43</w:t>
            </w:r>
            <w:r w:rsidRPr="006B1940">
              <w:rPr>
                <w:lang w:val="fr-CH"/>
              </w:rPr>
              <w:br/>
              <w:t xml:space="preserve">E-mail: </w:t>
            </w:r>
            <w:hyperlink r:id="rId7" w:history="1">
              <w:r w:rsidRPr="006B1940">
                <w:rPr>
                  <w:color w:val="0000FF"/>
                  <w:u w:val="single"/>
                  <w:lang w:val="fr-CH"/>
                </w:rPr>
                <w:t>grow-eu-tbt@ec.europa.eu</w:t>
              </w:r>
            </w:hyperlink>
            <w:r w:rsidRPr="006B1940">
              <w:rPr>
                <w:lang w:val="fr-CH"/>
              </w:rPr>
              <w:br/>
              <w:t xml:space="preserve">Website: </w:t>
            </w:r>
            <w:hyperlink r:id="rId8" w:history="1">
              <w:r w:rsidRPr="006B1940">
                <w:rPr>
                  <w:color w:val="0000FF"/>
                  <w:u w:val="single"/>
                  <w:lang w:val="fr-CH"/>
                </w:rPr>
                <w:t>http://ec.europa.eu/growth/tools-databases/tbt/en/</w:t>
              </w:r>
            </w:hyperlink>
            <w:r w:rsidRPr="006B1940">
              <w:rPr>
                <w:lang w:val="fr-CH"/>
              </w:rPr>
              <w:t xml:space="preserve"> </w:t>
            </w:r>
            <w:bookmarkEnd w:id="7"/>
          </w:p>
        </w:tc>
      </w:tr>
      <w:tr w:rsidR="00FC6E2F" w14:paraId="75B180B5" w14:textId="77777777" w:rsidTr="0069259F">
        <w:tc>
          <w:tcPr>
            <w:tcW w:w="713" w:type="dxa"/>
            <w:tcBorders>
              <w:top w:val="single" w:sz="6" w:space="0" w:color="auto"/>
              <w:bottom w:val="single" w:sz="6" w:space="0" w:color="auto"/>
            </w:tcBorders>
            <w:shd w:val="clear" w:color="auto" w:fill="auto"/>
          </w:tcPr>
          <w:p w14:paraId="271F3089" w14:textId="77777777" w:rsidR="00F85C99" w:rsidRPr="002F6A28" w:rsidRDefault="00207D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295BE46" w14:textId="77777777" w:rsidR="00F85C99" w:rsidRPr="0058336F" w:rsidRDefault="00207D2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C6E2F" w14:paraId="676405BA" w14:textId="77777777" w:rsidTr="0069259F">
        <w:tc>
          <w:tcPr>
            <w:tcW w:w="713" w:type="dxa"/>
            <w:tcBorders>
              <w:top w:val="single" w:sz="6" w:space="0" w:color="auto"/>
              <w:bottom w:val="single" w:sz="6" w:space="0" w:color="auto"/>
            </w:tcBorders>
            <w:shd w:val="clear" w:color="auto" w:fill="auto"/>
          </w:tcPr>
          <w:p w14:paraId="35A39491" w14:textId="77777777" w:rsidR="00F85C99" w:rsidRPr="002F6A28" w:rsidRDefault="00207D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F875F68" w14:textId="77777777" w:rsidR="00F85C99" w:rsidRPr="002F6A28" w:rsidRDefault="00207D2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Biocidal products; Products of the chemical industry (ICS 71.100)</w:t>
            </w:r>
            <w:bookmarkStart w:id="20" w:name="sps3a"/>
            <w:bookmarkEnd w:id="20"/>
          </w:p>
        </w:tc>
      </w:tr>
      <w:tr w:rsidR="00FC6E2F" w14:paraId="26BE146A" w14:textId="77777777" w:rsidTr="0069259F">
        <w:tc>
          <w:tcPr>
            <w:tcW w:w="713" w:type="dxa"/>
            <w:tcBorders>
              <w:top w:val="single" w:sz="6" w:space="0" w:color="auto"/>
              <w:bottom w:val="single" w:sz="6" w:space="0" w:color="auto"/>
            </w:tcBorders>
            <w:shd w:val="clear" w:color="auto" w:fill="auto"/>
          </w:tcPr>
          <w:p w14:paraId="033C8E76" w14:textId="77777777" w:rsidR="00F85C99" w:rsidRPr="002F6A28" w:rsidRDefault="00207D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31E8D5" w14:textId="77777777" w:rsidR="00F85C99" w:rsidRPr="002F6A28" w:rsidRDefault="00207D2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Implementing Decision not approving N-(3-aminopropyl)-N-dodecylpropane-1,3-diamine as an existing active substance for use in biocidal products of product-type 8 (3 page(s), in English)</w:t>
            </w:r>
            <w:bookmarkStart w:id="22" w:name="sps5a"/>
            <w:bookmarkStart w:id="23" w:name="sps5c"/>
            <w:bookmarkStart w:id="24" w:name="sps5b"/>
            <w:bookmarkEnd w:id="22"/>
            <w:bookmarkEnd w:id="23"/>
            <w:bookmarkEnd w:id="24"/>
          </w:p>
        </w:tc>
      </w:tr>
      <w:tr w:rsidR="00FC6E2F" w14:paraId="2CA39317" w14:textId="77777777" w:rsidTr="0069259F">
        <w:tc>
          <w:tcPr>
            <w:tcW w:w="713" w:type="dxa"/>
            <w:tcBorders>
              <w:top w:val="single" w:sz="6" w:space="0" w:color="auto"/>
              <w:bottom w:val="single" w:sz="6" w:space="0" w:color="auto"/>
            </w:tcBorders>
            <w:shd w:val="clear" w:color="auto" w:fill="auto"/>
          </w:tcPr>
          <w:p w14:paraId="6521F99A" w14:textId="77777777" w:rsidR="00F85C99" w:rsidRPr="002F6A28" w:rsidRDefault="00207D2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7173A4" w14:textId="77777777" w:rsidR="00F85C99" w:rsidRPr="002F6A28" w:rsidRDefault="00207D2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Implementing Decision does not approve N-(3-aminopropyl)-N-dodecylpropane-1,3-diamine as an existing active substance for use in biocidal products of product-type 8.</w:t>
            </w:r>
          </w:p>
          <w:p w14:paraId="126E4D99" w14:textId="77777777" w:rsidR="00FE448B" w:rsidRPr="00C379C8" w:rsidRDefault="00207D2C" w:rsidP="002F6A28">
            <w:pPr>
              <w:spacing w:before="120" w:after="120"/>
            </w:pPr>
            <w:r w:rsidRPr="00C379C8">
              <w:t>Risks for the human health were identified that could not be mitigated by adequate risks mitigation measures and no safe use could be found. The opinion of the European Chemicals Agency can be found on its website (</w:t>
            </w:r>
            <w:hyperlink r:id="rId9" w:history="1">
              <w:r w:rsidRPr="00C379C8">
                <w:rPr>
                  <w:color w:val="0000FF"/>
                  <w:u w:val="single"/>
                </w:rPr>
                <w:t>http://echa.europa.eu/regulations/biocidal-products-regulation/approval-of-active-substances/bpc-opinions-on-active-substance-approval</w:t>
              </w:r>
            </w:hyperlink>
            <w:r w:rsidRPr="00C379C8">
              <w:t>).</w:t>
            </w:r>
            <w:bookmarkStart w:id="26" w:name="sps6a"/>
            <w:bookmarkEnd w:id="26"/>
          </w:p>
        </w:tc>
      </w:tr>
      <w:tr w:rsidR="00FC6E2F" w14:paraId="015ED30A" w14:textId="77777777" w:rsidTr="0069259F">
        <w:tc>
          <w:tcPr>
            <w:tcW w:w="713" w:type="dxa"/>
            <w:tcBorders>
              <w:top w:val="single" w:sz="6" w:space="0" w:color="auto"/>
              <w:bottom w:val="single" w:sz="6" w:space="0" w:color="auto"/>
            </w:tcBorders>
            <w:shd w:val="clear" w:color="auto" w:fill="auto"/>
          </w:tcPr>
          <w:p w14:paraId="1A4EAF27" w14:textId="77777777" w:rsidR="00F85C99" w:rsidRPr="002F6A28" w:rsidRDefault="00207D2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7A21DD2" w14:textId="77777777" w:rsidR="00F85C99" w:rsidRPr="002F6A28" w:rsidRDefault="00207D2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Harmonisation of the EU market on biocidal products.; Protection of human health or safety; Protection of the environment; Harmonization</w:t>
            </w:r>
            <w:bookmarkStart w:id="28" w:name="sps7f"/>
            <w:bookmarkEnd w:id="28"/>
          </w:p>
        </w:tc>
      </w:tr>
      <w:tr w:rsidR="00FC6E2F" w:rsidRPr="00E93049" w14:paraId="309B52EA" w14:textId="77777777" w:rsidTr="0069259F">
        <w:tc>
          <w:tcPr>
            <w:tcW w:w="713" w:type="dxa"/>
            <w:tcBorders>
              <w:top w:val="single" w:sz="6" w:space="0" w:color="auto"/>
              <w:bottom w:val="single" w:sz="6" w:space="0" w:color="auto"/>
            </w:tcBorders>
            <w:shd w:val="clear" w:color="auto" w:fill="auto"/>
          </w:tcPr>
          <w:p w14:paraId="2DD2E0A1" w14:textId="77777777" w:rsidR="00F85C99" w:rsidRPr="002F6A28" w:rsidRDefault="00207D2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E004A99" w14:textId="77777777" w:rsidR="00072B36" w:rsidRPr="002F6A28" w:rsidRDefault="00207D2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C3A80D9" w14:textId="77777777" w:rsidR="00F85C99" w:rsidRPr="006B1940" w:rsidRDefault="00207D2C" w:rsidP="009E75ED">
            <w:pPr>
              <w:spacing w:before="120" w:after="120"/>
              <w:rPr>
                <w:lang w:val="fr-CH"/>
              </w:rPr>
            </w:pPr>
            <w:r w:rsidRPr="002F6A28">
              <w:rPr>
                <w:bCs/>
              </w:rPr>
              <w:t xml:space="preserve">Regulation (EU) No 528/2012 of the European Parliament and of the Council of 22 May 2012 concerning the making available on the market and use of biocidal products (OJ L 167, 27.6.2012, p. 1.). </w:t>
            </w:r>
            <w:r w:rsidRPr="006B1940">
              <w:rPr>
                <w:bCs/>
                <w:lang w:val="fr-CH"/>
              </w:rPr>
              <w:t xml:space="preserve">Available in all EU languages. </w:t>
            </w:r>
          </w:p>
          <w:p w14:paraId="2B6DDBF0" w14:textId="77777777" w:rsidR="00583A29" w:rsidRPr="006B1940" w:rsidRDefault="003C6654" w:rsidP="009E75ED">
            <w:pPr>
              <w:spacing w:after="120"/>
              <w:rPr>
                <w:bCs/>
                <w:lang w:val="fr-CH"/>
              </w:rPr>
            </w:pPr>
            <w:hyperlink r:id="rId10" w:history="1">
              <w:r w:rsidR="00207D2C" w:rsidRPr="006B1940">
                <w:rPr>
                  <w:bCs/>
                  <w:color w:val="0000FF"/>
                  <w:u w:val="single"/>
                  <w:lang w:val="fr-CH"/>
                </w:rPr>
                <w:t>EUR-Lex - 32012R0528 - EN - EUR-Lex (europa.eu)</w:t>
              </w:r>
            </w:hyperlink>
          </w:p>
        </w:tc>
      </w:tr>
      <w:tr w:rsidR="00FC6E2F" w14:paraId="773D4BD6" w14:textId="77777777" w:rsidTr="00AE6CC8">
        <w:trPr>
          <w:cantSplit/>
        </w:trPr>
        <w:tc>
          <w:tcPr>
            <w:tcW w:w="713" w:type="dxa"/>
            <w:tcBorders>
              <w:top w:val="single" w:sz="6" w:space="0" w:color="auto"/>
              <w:bottom w:val="single" w:sz="6" w:space="0" w:color="auto"/>
            </w:tcBorders>
            <w:shd w:val="clear" w:color="auto" w:fill="auto"/>
          </w:tcPr>
          <w:p w14:paraId="51C8B4D9" w14:textId="77777777" w:rsidR="00EE3A11" w:rsidRPr="002F6A28" w:rsidRDefault="00207D2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BCEBA82" w14:textId="77777777" w:rsidR="00EE3A11" w:rsidRPr="002F6A28" w:rsidRDefault="00207D2C"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May 2020</w:t>
            </w:r>
            <w:bookmarkEnd w:id="32"/>
          </w:p>
          <w:p w14:paraId="64D5C040" w14:textId="77777777" w:rsidR="00EE3A11" w:rsidRPr="002F6A28" w:rsidRDefault="00207D2C"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20 days from publication in the Official Journal of the EU (Application 12 months after adoption)</w:t>
            </w:r>
            <w:bookmarkEnd w:id="35"/>
          </w:p>
        </w:tc>
      </w:tr>
      <w:tr w:rsidR="00FC6E2F" w14:paraId="1C1CE14F" w14:textId="77777777" w:rsidTr="0069259F">
        <w:tc>
          <w:tcPr>
            <w:tcW w:w="713" w:type="dxa"/>
            <w:tcBorders>
              <w:top w:val="single" w:sz="6" w:space="0" w:color="auto"/>
              <w:bottom w:val="single" w:sz="6" w:space="0" w:color="auto"/>
            </w:tcBorders>
            <w:shd w:val="clear" w:color="auto" w:fill="auto"/>
          </w:tcPr>
          <w:p w14:paraId="059342DD" w14:textId="77777777" w:rsidR="00F85C99" w:rsidRPr="002F6A28" w:rsidRDefault="00207D2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78BDF8" w14:textId="77777777" w:rsidR="00F85C99" w:rsidRPr="002F6A28" w:rsidRDefault="00207D2C"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FC6E2F" w14:paraId="68D3F09B" w14:textId="77777777" w:rsidTr="0069259F">
        <w:tc>
          <w:tcPr>
            <w:tcW w:w="713" w:type="dxa"/>
            <w:tcBorders>
              <w:top w:val="single" w:sz="6" w:space="0" w:color="auto"/>
            </w:tcBorders>
            <w:shd w:val="clear" w:color="auto" w:fill="auto"/>
          </w:tcPr>
          <w:p w14:paraId="1AFC6440" w14:textId="77777777" w:rsidR="00F85C99" w:rsidRPr="002F6A28" w:rsidRDefault="00207D2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9EA8D7" w14:textId="77777777" w:rsidR="00F85C99" w:rsidRPr="002F6A28" w:rsidRDefault="00207D2C"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 xml:space="preserve">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64C025C8" w14:textId="77777777" w:rsidR="00583A29" w:rsidRPr="002F6A28" w:rsidRDefault="00207D2C"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1" w:history="1">
              <w:r w:rsidRPr="002F6A28">
                <w:rPr>
                  <w:color w:val="0000FF"/>
                  <w:u w:val="single"/>
                </w:rPr>
                <w:t>grow-eu-tbt@ec.europa.eu</w:t>
              </w:r>
            </w:hyperlink>
            <w:r w:rsidRPr="002F6A28">
              <w:br/>
            </w:r>
            <w:r w:rsidRPr="002F6A28">
              <w:br/>
              <w:t xml:space="preserve">The text is available on the EU-TBT Website : </w:t>
            </w:r>
            <w:hyperlink r:id="rId12" w:history="1">
              <w:r w:rsidRPr="002F6A28">
                <w:rPr>
                  <w:color w:val="0000FF"/>
                  <w:u w:val="single"/>
                </w:rPr>
                <w:t>http://ec.europa.eu/growth/tools-databases/tbt/en/</w:t>
              </w:r>
            </w:hyperlink>
          </w:p>
          <w:p w14:paraId="3A765627" w14:textId="77777777" w:rsidR="00583A29" w:rsidRPr="002F6A28" w:rsidRDefault="003C6654" w:rsidP="00B16145">
            <w:pPr>
              <w:keepNext/>
              <w:keepLines/>
              <w:spacing w:before="120" w:after="120"/>
            </w:pPr>
            <w:hyperlink r:id="rId13" w:history="1">
              <w:r w:rsidR="00207D2C" w:rsidRPr="002F6A28">
                <w:rPr>
                  <w:color w:val="0000FF"/>
                  <w:u w:val="single"/>
                </w:rPr>
                <w:t>https://members.wto.org/crnattachments/2022/TBT/EEC/22_1973_00_e.pdf</w:t>
              </w:r>
            </w:hyperlink>
            <w:bookmarkEnd w:id="41"/>
          </w:p>
        </w:tc>
      </w:tr>
    </w:tbl>
    <w:p w14:paraId="25C24D5E"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F98C" w14:textId="77777777" w:rsidR="003E699B" w:rsidRDefault="00207D2C">
      <w:r>
        <w:separator/>
      </w:r>
    </w:p>
  </w:endnote>
  <w:endnote w:type="continuationSeparator" w:id="0">
    <w:p w14:paraId="22C1A403" w14:textId="77777777" w:rsidR="003E699B" w:rsidRDefault="0020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FAB8" w14:textId="77777777" w:rsidR="009239F7" w:rsidRPr="002F6A28" w:rsidRDefault="00207D2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4169" w14:textId="77777777" w:rsidR="009239F7" w:rsidRPr="002F6A28" w:rsidRDefault="00207D2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2BD0" w14:textId="77777777" w:rsidR="00EE3A11" w:rsidRPr="002F6A28" w:rsidRDefault="00207D2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C792" w14:textId="77777777" w:rsidR="003E699B" w:rsidRDefault="00207D2C">
      <w:r>
        <w:separator/>
      </w:r>
    </w:p>
  </w:footnote>
  <w:footnote w:type="continuationSeparator" w:id="0">
    <w:p w14:paraId="6132C948" w14:textId="77777777" w:rsidR="003E699B" w:rsidRDefault="0020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0CC3" w14:textId="77777777" w:rsidR="009239F7" w:rsidRPr="002F6A28" w:rsidRDefault="00207D2C" w:rsidP="009239F7">
    <w:pPr>
      <w:pStyle w:val="Header"/>
      <w:pBdr>
        <w:bottom w:val="single" w:sz="4" w:space="1" w:color="auto"/>
      </w:pBdr>
      <w:tabs>
        <w:tab w:val="clear" w:pos="4513"/>
        <w:tab w:val="clear" w:pos="9027"/>
      </w:tabs>
      <w:jc w:val="center"/>
    </w:pPr>
    <w:r w:rsidRPr="002F6A28">
      <w:t>tbtSymbol</w:t>
    </w:r>
  </w:p>
  <w:p w14:paraId="1B205701" w14:textId="77777777" w:rsidR="009239F7" w:rsidRPr="002F6A28" w:rsidRDefault="009239F7" w:rsidP="009239F7">
    <w:pPr>
      <w:pStyle w:val="Header"/>
      <w:pBdr>
        <w:bottom w:val="single" w:sz="4" w:space="1" w:color="auto"/>
      </w:pBdr>
      <w:tabs>
        <w:tab w:val="clear" w:pos="4513"/>
        <w:tab w:val="clear" w:pos="9027"/>
      </w:tabs>
      <w:jc w:val="center"/>
    </w:pPr>
  </w:p>
  <w:p w14:paraId="42B683C0" w14:textId="77777777" w:rsidR="009239F7" w:rsidRPr="002F6A28" w:rsidRDefault="00207D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E9426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3F28" w14:textId="77777777" w:rsidR="009239F7" w:rsidRPr="002F6A28" w:rsidRDefault="00207D2C" w:rsidP="009239F7">
    <w:pPr>
      <w:pStyle w:val="Header"/>
      <w:pBdr>
        <w:bottom w:val="single" w:sz="4" w:space="1" w:color="auto"/>
      </w:pBdr>
      <w:tabs>
        <w:tab w:val="clear" w:pos="4513"/>
        <w:tab w:val="clear" w:pos="9027"/>
      </w:tabs>
      <w:jc w:val="center"/>
    </w:pPr>
    <w:bookmarkStart w:id="42" w:name="spsSymbolHeader"/>
    <w:r w:rsidRPr="002F6A28">
      <w:t>G/TBT/N/EU/877</w:t>
    </w:r>
    <w:bookmarkEnd w:id="42"/>
  </w:p>
  <w:p w14:paraId="4EEFC496" w14:textId="77777777" w:rsidR="009239F7" w:rsidRPr="002F6A28" w:rsidRDefault="009239F7" w:rsidP="009239F7">
    <w:pPr>
      <w:pStyle w:val="Header"/>
      <w:pBdr>
        <w:bottom w:val="single" w:sz="4" w:space="1" w:color="auto"/>
      </w:pBdr>
      <w:tabs>
        <w:tab w:val="clear" w:pos="4513"/>
        <w:tab w:val="clear" w:pos="9027"/>
      </w:tabs>
      <w:jc w:val="center"/>
    </w:pPr>
  </w:p>
  <w:p w14:paraId="5F558D46" w14:textId="77777777" w:rsidR="009239F7" w:rsidRPr="002F6A28" w:rsidRDefault="00207D2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19AE0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6E2F" w14:paraId="45FAD5B6" w14:textId="77777777" w:rsidTr="008612A9">
      <w:trPr>
        <w:trHeight w:val="240"/>
        <w:jc w:val="center"/>
      </w:trPr>
      <w:tc>
        <w:tcPr>
          <w:tcW w:w="3794" w:type="dxa"/>
          <w:shd w:val="clear" w:color="auto" w:fill="FFFFFF"/>
          <w:tcMar>
            <w:left w:w="108" w:type="dxa"/>
            <w:right w:w="108" w:type="dxa"/>
          </w:tcMar>
          <w:vAlign w:val="center"/>
        </w:tcPr>
        <w:p w14:paraId="393203AC"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EC3BB72" w14:textId="77777777" w:rsidR="00ED54E0" w:rsidRPr="009239F7" w:rsidRDefault="00ED54E0" w:rsidP="00B801E9">
          <w:pPr>
            <w:jc w:val="right"/>
            <w:rPr>
              <w:b/>
              <w:color w:val="FF0000"/>
              <w:szCs w:val="16"/>
            </w:rPr>
          </w:pPr>
        </w:p>
      </w:tc>
    </w:tr>
    <w:bookmarkEnd w:id="43"/>
    <w:tr w:rsidR="00FC6E2F" w14:paraId="754DA3C0" w14:textId="77777777" w:rsidTr="008612A9">
      <w:trPr>
        <w:trHeight w:val="213"/>
        <w:jc w:val="center"/>
      </w:trPr>
      <w:tc>
        <w:tcPr>
          <w:tcW w:w="3794" w:type="dxa"/>
          <w:vMerge w:val="restart"/>
          <w:shd w:val="clear" w:color="auto" w:fill="FFFFFF"/>
          <w:tcMar>
            <w:left w:w="0" w:type="dxa"/>
            <w:right w:w="0" w:type="dxa"/>
          </w:tcMar>
        </w:tcPr>
        <w:p w14:paraId="42E58407" w14:textId="77777777" w:rsidR="00ED54E0" w:rsidRPr="009239F7" w:rsidRDefault="00207D2C" w:rsidP="00B801E9">
          <w:pPr>
            <w:jc w:val="left"/>
          </w:pPr>
          <w:r>
            <w:rPr>
              <w:noProof/>
              <w:lang w:eastAsia="en-GB"/>
            </w:rPr>
            <w:drawing>
              <wp:inline distT="0" distB="0" distL="0" distR="0" wp14:anchorId="1292C2B9" wp14:editId="2344E8E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768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06E35F" w14:textId="77777777" w:rsidR="00ED54E0" w:rsidRPr="009239F7" w:rsidRDefault="00ED54E0" w:rsidP="00B801E9">
          <w:pPr>
            <w:jc w:val="right"/>
            <w:rPr>
              <w:b/>
              <w:szCs w:val="16"/>
            </w:rPr>
          </w:pPr>
        </w:p>
      </w:tc>
    </w:tr>
    <w:tr w:rsidR="00FC6E2F" w14:paraId="26FEAEA4" w14:textId="77777777" w:rsidTr="008612A9">
      <w:trPr>
        <w:trHeight w:val="868"/>
        <w:jc w:val="center"/>
      </w:trPr>
      <w:tc>
        <w:tcPr>
          <w:tcW w:w="3794" w:type="dxa"/>
          <w:vMerge/>
          <w:shd w:val="clear" w:color="auto" w:fill="FFFFFF"/>
          <w:tcMar>
            <w:left w:w="108" w:type="dxa"/>
            <w:right w:w="108" w:type="dxa"/>
          </w:tcMar>
        </w:tcPr>
        <w:p w14:paraId="3E9000D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57D67AA" w14:textId="77777777" w:rsidR="009239F7" w:rsidRPr="002F6A28" w:rsidRDefault="00207D2C" w:rsidP="00B801E9">
          <w:pPr>
            <w:jc w:val="right"/>
            <w:rPr>
              <w:b/>
              <w:szCs w:val="16"/>
            </w:rPr>
          </w:pPr>
          <w:bookmarkStart w:id="44" w:name="bmkSymbols"/>
          <w:r w:rsidRPr="002F6A28">
            <w:rPr>
              <w:b/>
              <w:szCs w:val="16"/>
            </w:rPr>
            <w:t>G/TBT/N/EU/877</w:t>
          </w:r>
          <w:bookmarkEnd w:id="44"/>
        </w:p>
      </w:tc>
    </w:tr>
    <w:tr w:rsidR="00FC6E2F" w14:paraId="23AAC167" w14:textId="77777777" w:rsidTr="008612A9">
      <w:trPr>
        <w:trHeight w:val="240"/>
        <w:jc w:val="center"/>
      </w:trPr>
      <w:tc>
        <w:tcPr>
          <w:tcW w:w="3794" w:type="dxa"/>
          <w:vMerge/>
          <w:shd w:val="clear" w:color="auto" w:fill="FFFFFF"/>
          <w:tcMar>
            <w:left w:w="108" w:type="dxa"/>
            <w:right w:w="108" w:type="dxa"/>
          </w:tcMar>
          <w:vAlign w:val="center"/>
        </w:tcPr>
        <w:p w14:paraId="137E80CE" w14:textId="77777777" w:rsidR="00ED54E0" w:rsidRPr="009239F7" w:rsidRDefault="00ED54E0" w:rsidP="00B801E9"/>
      </w:tc>
      <w:tc>
        <w:tcPr>
          <w:tcW w:w="5448" w:type="dxa"/>
          <w:gridSpan w:val="2"/>
          <w:shd w:val="clear" w:color="auto" w:fill="FFFFFF"/>
          <w:tcMar>
            <w:left w:w="108" w:type="dxa"/>
            <w:right w:w="108" w:type="dxa"/>
          </w:tcMar>
          <w:vAlign w:val="center"/>
        </w:tcPr>
        <w:p w14:paraId="77200D4A" w14:textId="7CBC454F" w:rsidR="00ED54E0" w:rsidRPr="009239F7" w:rsidRDefault="00E93049" w:rsidP="00B801E9">
          <w:pPr>
            <w:jc w:val="right"/>
            <w:rPr>
              <w:szCs w:val="16"/>
            </w:rPr>
          </w:pPr>
          <w:bookmarkStart w:id="45" w:name="spsDateDistribution"/>
          <w:bookmarkStart w:id="46" w:name="bmkDate"/>
          <w:bookmarkEnd w:id="45"/>
          <w:bookmarkEnd w:id="46"/>
          <w:r>
            <w:rPr>
              <w:szCs w:val="16"/>
            </w:rPr>
            <w:t>7 March 2022</w:t>
          </w:r>
        </w:p>
      </w:tc>
    </w:tr>
    <w:tr w:rsidR="00FC6E2F" w14:paraId="6D0F7E2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CA4716" w14:textId="672CE602" w:rsidR="00ED54E0" w:rsidRPr="009239F7" w:rsidRDefault="00207D2C" w:rsidP="0097650D">
          <w:pPr>
            <w:jc w:val="left"/>
            <w:rPr>
              <w:b/>
            </w:rPr>
          </w:pPr>
          <w:bookmarkStart w:id="47" w:name="bmkSerial"/>
          <w:r w:rsidRPr="002F6A28">
            <w:rPr>
              <w:color w:val="FF0000"/>
              <w:szCs w:val="16"/>
            </w:rPr>
            <w:t>(</w:t>
          </w:r>
          <w:bookmarkStart w:id="48" w:name="spsSerialNumber"/>
          <w:bookmarkEnd w:id="48"/>
          <w:r w:rsidR="00E93049">
            <w:rPr>
              <w:color w:val="FF0000"/>
              <w:szCs w:val="16"/>
            </w:rPr>
            <w:t>22-</w:t>
          </w:r>
          <w:r w:rsidR="003C6654">
            <w:rPr>
              <w:color w:val="FF0000"/>
              <w:szCs w:val="16"/>
            </w:rPr>
            <w:t>2061</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315F973" w14:textId="77777777" w:rsidR="00ED54E0" w:rsidRPr="009239F7" w:rsidRDefault="00207D2C"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C6E2F" w14:paraId="20845F0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68768B" w14:textId="77777777" w:rsidR="00ED54E0" w:rsidRPr="009239F7" w:rsidRDefault="00207D2C"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70985F13" w14:textId="77777777" w:rsidR="00ED54E0" w:rsidRPr="002F6A28" w:rsidRDefault="00207D2C"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113E649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B093DE">
      <w:start w:val="1"/>
      <w:numFmt w:val="decimal"/>
      <w:pStyle w:val="SummaryText"/>
      <w:lvlText w:val="%1."/>
      <w:lvlJc w:val="left"/>
      <w:pPr>
        <w:ind w:left="360" w:hanging="360"/>
      </w:pPr>
    </w:lvl>
    <w:lvl w:ilvl="1" w:tplc="1B561B66" w:tentative="1">
      <w:start w:val="1"/>
      <w:numFmt w:val="lowerLetter"/>
      <w:lvlText w:val="%2."/>
      <w:lvlJc w:val="left"/>
      <w:pPr>
        <w:ind w:left="1080" w:hanging="360"/>
      </w:pPr>
    </w:lvl>
    <w:lvl w:ilvl="2" w:tplc="59E296D2" w:tentative="1">
      <w:start w:val="1"/>
      <w:numFmt w:val="lowerRoman"/>
      <w:lvlText w:val="%3."/>
      <w:lvlJc w:val="right"/>
      <w:pPr>
        <w:ind w:left="1800" w:hanging="180"/>
      </w:pPr>
    </w:lvl>
    <w:lvl w:ilvl="3" w:tplc="5BC6311C" w:tentative="1">
      <w:start w:val="1"/>
      <w:numFmt w:val="decimal"/>
      <w:lvlText w:val="%4."/>
      <w:lvlJc w:val="left"/>
      <w:pPr>
        <w:ind w:left="2520" w:hanging="360"/>
      </w:pPr>
    </w:lvl>
    <w:lvl w:ilvl="4" w:tplc="5C606474" w:tentative="1">
      <w:start w:val="1"/>
      <w:numFmt w:val="lowerLetter"/>
      <w:lvlText w:val="%5."/>
      <w:lvlJc w:val="left"/>
      <w:pPr>
        <w:ind w:left="3240" w:hanging="360"/>
      </w:pPr>
    </w:lvl>
    <w:lvl w:ilvl="5" w:tplc="4146AB88" w:tentative="1">
      <w:start w:val="1"/>
      <w:numFmt w:val="lowerRoman"/>
      <w:lvlText w:val="%6."/>
      <w:lvlJc w:val="right"/>
      <w:pPr>
        <w:ind w:left="3960" w:hanging="180"/>
      </w:pPr>
    </w:lvl>
    <w:lvl w:ilvl="6" w:tplc="F662AFAC" w:tentative="1">
      <w:start w:val="1"/>
      <w:numFmt w:val="decimal"/>
      <w:lvlText w:val="%7."/>
      <w:lvlJc w:val="left"/>
      <w:pPr>
        <w:ind w:left="4680" w:hanging="360"/>
      </w:pPr>
    </w:lvl>
    <w:lvl w:ilvl="7" w:tplc="EB5A91C6" w:tentative="1">
      <w:start w:val="1"/>
      <w:numFmt w:val="lowerLetter"/>
      <w:lvlText w:val="%8."/>
      <w:lvlJc w:val="left"/>
      <w:pPr>
        <w:ind w:left="5400" w:hanging="360"/>
      </w:pPr>
    </w:lvl>
    <w:lvl w:ilvl="8" w:tplc="C430E9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07D2C"/>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C6654"/>
    <w:rsid w:val="003E699B"/>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3A29"/>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B1940"/>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049"/>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C6E2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E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EC/22_1973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ec.europa.eu/growth/tools-databases/tbt/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w-eu-tbt@ec.europa.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lex.europa.eu/legal-content/EN/TXT/?uri=CELEX%3A32012R0528&amp;qid=164632701451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cha.europa.eu/regulations/biocidal-products-regulation/approval-of-active-substances/bpc-opinions-on-active-substance-approva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2518</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2022-03-07T10:25:00Z</dcterms:created>
  <dcterms:modified xsi:type="dcterms:W3CDTF">2022-03-07T10:34:00Z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