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259D" w14:textId="77777777" w:rsidR="009239F7" w:rsidRPr="002F6A28" w:rsidRDefault="00B45E48" w:rsidP="002F6A28">
      <w:pPr>
        <w:pStyle w:val="Title"/>
        <w:rPr>
          <w:caps w:val="0"/>
          <w:kern w:val="0"/>
        </w:rPr>
      </w:pPr>
      <w:r w:rsidRPr="002F6A28">
        <w:rPr>
          <w:caps w:val="0"/>
          <w:kern w:val="0"/>
        </w:rPr>
        <w:t>NOTIFICATION</w:t>
      </w:r>
    </w:p>
    <w:p w14:paraId="52D4EE6C" w14:textId="77777777" w:rsidR="009239F7" w:rsidRPr="002F6A28" w:rsidRDefault="00B45E48" w:rsidP="002F6A28">
      <w:pPr>
        <w:jc w:val="center"/>
      </w:pPr>
      <w:r w:rsidRPr="002F6A28">
        <w:t>The following notification is being circulated in accordance with Article 10.6</w:t>
      </w:r>
    </w:p>
    <w:p w14:paraId="4DCB7EC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81CC8" w14:paraId="1CF454BC" w14:textId="77777777" w:rsidTr="0069259F">
        <w:tc>
          <w:tcPr>
            <w:tcW w:w="713" w:type="dxa"/>
            <w:tcBorders>
              <w:bottom w:val="single" w:sz="6" w:space="0" w:color="auto"/>
            </w:tcBorders>
            <w:shd w:val="clear" w:color="auto" w:fill="auto"/>
          </w:tcPr>
          <w:p w14:paraId="12CB4E18" w14:textId="77777777" w:rsidR="00F85C99" w:rsidRPr="002F6A28" w:rsidRDefault="00B45E48" w:rsidP="002F6A28">
            <w:pPr>
              <w:spacing w:before="120" w:after="120"/>
              <w:jc w:val="left"/>
            </w:pPr>
            <w:r w:rsidRPr="002F6A28">
              <w:rPr>
                <w:b/>
              </w:rPr>
              <w:t>1.</w:t>
            </w:r>
          </w:p>
        </w:tc>
        <w:tc>
          <w:tcPr>
            <w:tcW w:w="8546" w:type="dxa"/>
            <w:tcBorders>
              <w:bottom w:val="single" w:sz="6" w:space="0" w:color="auto"/>
            </w:tcBorders>
            <w:shd w:val="clear" w:color="auto" w:fill="auto"/>
          </w:tcPr>
          <w:p w14:paraId="1C7FB23B" w14:textId="77777777" w:rsidR="00F85C99" w:rsidRPr="002F6A28" w:rsidRDefault="00B45E4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69E54E28" w14:textId="77777777" w:rsidR="00F85C99" w:rsidRPr="002F6A28" w:rsidRDefault="00B45E4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81CC8" w:rsidRPr="00EE51C2" w14:paraId="6D907720" w14:textId="77777777" w:rsidTr="0069259F">
        <w:tc>
          <w:tcPr>
            <w:tcW w:w="713" w:type="dxa"/>
            <w:tcBorders>
              <w:top w:val="single" w:sz="6" w:space="0" w:color="auto"/>
              <w:bottom w:val="single" w:sz="6" w:space="0" w:color="auto"/>
            </w:tcBorders>
            <w:shd w:val="clear" w:color="auto" w:fill="auto"/>
          </w:tcPr>
          <w:p w14:paraId="646381F8" w14:textId="77777777" w:rsidR="00F85C99" w:rsidRPr="002F6A28" w:rsidRDefault="00B45E4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7DE07B" w14:textId="77777777" w:rsidR="00F85C99" w:rsidRPr="002F6A28" w:rsidRDefault="00B45E4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7019C345" w14:textId="77777777" w:rsidR="00F85C99" w:rsidRPr="002F6A28" w:rsidRDefault="00B45E4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765202F" w14:textId="77777777" w:rsidR="00846796" w:rsidRPr="00EE0B3A" w:rsidRDefault="00B45E48" w:rsidP="00AA646C">
            <w:pPr>
              <w:spacing w:after="120"/>
              <w:jc w:val="left"/>
              <w:rPr>
                <w:lang w:val="fr-CH"/>
              </w:rPr>
            </w:pPr>
            <w:r w:rsidRPr="00EE0B3A">
              <w:rPr>
                <w:lang w:val="fr-CH"/>
              </w:rPr>
              <w:t>European Commission,</w:t>
            </w:r>
            <w:r w:rsidRPr="00EE0B3A">
              <w:rPr>
                <w:lang w:val="fr-CH"/>
              </w:rPr>
              <w:br/>
              <w:t>EU-TBT Enquiry Point,</w:t>
            </w:r>
            <w:r w:rsidRPr="00EE0B3A">
              <w:rPr>
                <w:lang w:val="fr-CH"/>
              </w:rPr>
              <w:br/>
              <w:t>Fax: +(32) 2 299 80 43,</w:t>
            </w:r>
            <w:r w:rsidRPr="00EE0B3A">
              <w:rPr>
                <w:lang w:val="fr-CH"/>
              </w:rPr>
              <w:br/>
              <w:t xml:space="preserve">E-mail: </w:t>
            </w:r>
            <w:hyperlink r:id="rId7" w:history="1">
              <w:r w:rsidRPr="00EE0B3A">
                <w:rPr>
                  <w:color w:val="0000FF"/>
                  <w:u w:val="single"/>
                  <w:lang w:val="fr-CH"/>
                </w:rPr>
                <w:t>grow-eu-tbt@ec.europa.eu</w:t>
              </w:r>
            </w:hyperlink>
            <w:r w:rsidRPr="00EE0B3A">
              <w:rPr>
                <w:lang w:val="fr-CH"/>
              </w:rPr>
              <w:br/>
              <w:t xml:space="preserve">Website: </w:t>
            </w:r>
            <w:hyperlink r:id="rId8" w:history="1">
              <w:r w:rsidRPr="00EE0B3A">
                <w:rPr>
                  <w:color w:val="0000FF"/>
                  <w:u w:val="single"/>
                  <w:lang w:val="fr-CH"/>
                </w:rPr>
                <w:t>http://ec.europa.eu/growth/tools-databases/tbt/en/</w:t>
              </w:r>
            </w:hyperlink>
            <w:r w:rsidRPr="00EE0B3A">
              <w:rPr>
                <w:lang w:val="fr-CH"/>
              </w:rPr>
              <w:t xml:space="preserve"> </w:t>
            </w:r>
            <w:bookmarkEnd w:id="7"/>
          </w:p>
        </w:tc>
      </w:tr>
      <w:tr w:rsidR="00781CC8" w14:paraId="07E0BE9B" w14:textId="77777777" w:rsidTr="0069259F">
        <w:tc>
          <w:tcPr>
            <w:tcW w:w="713" w:type="dxa"/>
            <w:tcBorders>
              <w:top w:val="single" w:sz="6" w:space="0" w:color="auto"/>
              <w:bottom w:val="single" w:sz="6" w:space="0" w:color="auto"/>
            </w:tcBorders>
            <w:shd w:val="clear" w:color="auto" w:fill="auto"/>
          </w:tcPr>
          <w:p w14:paraId="5A36EE79" w14:textId="77777777" w:rsidR="00F85C99" w:rsidRPr="002F6A28" w:rsidRDefault="00B45E4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678EDF" w14:textId="77777777" w:rsidR="00F85C99" w:rsidRPr="0058336F" w:rsidRDefault="00B45E4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81CC8" w14:paraId="66D7B56A" w14:textId="77777777" w:rsidTr="0069259F">
        <w:tc>
          <w:tcPr>
            <w:tcW w:w="713" w:type="dxa"/>
            <w:tcBorders>
              <w:top w:val="single" w:sz="6" w:space="0" w:color="auto"/>
              <w:bottom w:val="single" w:sz="6" w:space="0" w:color="auto"/>
            </w:tcBorders>
            <w:shd w:val="clear" w:color="auto" w:fill="auto"/>
          </w:tcPr>
          <w:p w14:paraId="53FCFF9F" w14:textId="77777777" w:rsidR="00F85C99" w:rsidRPr="002F6A28" w:rsidRDefault="00B45E4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E76342" w14:textId="77777777" w:rsidR="00F85C99" w:rsidRPr="002F6A28" w:rsidRDefault="00B45E4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Products without an intended medical purpose listed in Annex XVI of Regulation (EU) 2017/745 on medical devices.</w:t>
            </w:r>
            <w:bookmarkStart w:id="20" w:name="sps3a"/>
            <w:bookmarkEnd w:id="20"/>
          </w:p>
        </w:tc>
      </w:tr>
      <w:tr w:rsidR="00781CC8" w14:paraId="4C4C8D61" w14:textId="77777777" w:rsidTr="0069259F">
        <w:tc>
          <w:tcPr>
            <w:tcW w:w="713" w:type="dxa"/>
            <w:tcBorders>
              <w:top w:val="single" w:sz="6" w:space="0" w:color="auto"/>
              <w:bottom w:val="single" w:sz="6" w:space="0" w:color="auto"/>
            </w:tcBorders>
            <w:shd w:val="clear" w:color="auto" w:fill="auto"/>
          </w:tcPr>
          <w:p w14:paraId="7C57868F" w14:textId="77777777" w:rsidR="00F85C99" w:rsidRPr="002F6A28" w:rsidRDefault="00B45E4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4D22119" w14:textId="77777777" w:rsidR="00F85C99" w:rsidRPr="002F6A28" w:rsidRDefault="00B45E4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Implementing Regulation laying down common specifications for the groups of products without an intended medical purpose listed in Annex XVI to Regulation (EU) 2017/745 of the European Parliament and of the Council on medical devices (7 page(s), in English; 35 page(s), in English)</w:t>
            </w:r>
            <w:bookmarkStart w:id="22" w:name="sps5a"/>
            <w:bookmarkStart w:id="23" w:name="sps5c"/>
            <w:bookmarkStart w:id="24" w:name="sps5b"/>
            <w:bookmarkEnd w:id="22"/>
            <w:bookmarkEnd w:id="23"/>
            <w:bookmarkEnd w:id="24"/>
          </w:p>
        </w:tc>
      </w:tr>
      <w:tr w:rsidR="00781CC8" w14:paraId="5254D218" w14:textId="77777777" w:rsidTr="0069259F">
        <w:tc>
          <w:tcPr>
            <w:tcW w:w="713" w:type="dxa"/>
            <w:tcBorders>
              <w:top w:val="single" w:sz="6" w:space="0" w:color="auto"/>
              <w:bottom w:val="single" w:sz="6" w:space="0" w:color="auto"/>
            </w:tcBorders>
            <w:shd w:val="clear" w:color="auto" w:fill="auto"/>
          </w:tcPr>
          <w:p w14:paraId="2FD89F27" w14:textId="77777777" w:rsidR="00F85C99" w:rsidRPr="002F6A28" w:rsidRDefault="00B45E4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45E57A3" w14:textId="77777777" w:rsidR="00F85C99" w:rsidRPr="002F6A28" w:rsidRDefault="00B45E4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common specifications (CS) for each of the groups of products listed in Annex XVI of Regulation (EU) 2017/745 on medical devices address the application of risk management, in respect of certain general safety and performance requirements set out in Annex I of that Regulation. Examples for those Annex XVI products are cosmetic contact lenses; implants without medical purpose; facial, dermal or mucous membrane fillers; liposuction equipment; intense pulsed light or laser equipment for hair removal and brain stimulators.</w:t>
            </w:r>
          </w:p>
        </w:tc>
      </w:tr>
      <w:tr w:rsidR="00781CC8" w14:paraId="7D7BDAAE" w14:textId="77777777" w:rsidTr="0069259F">
        <w:tc>
          <w:tcPr>
            <w:tcW w:w="713" w:type="dxa"/>
            <w:tcBorders>
              <w:top w:val="single" w:sz="6" w:space="0" w:color="auto"/>
              <w:bottom w:val="single" w:sz="6" w:space="0" w:color="auto"/>
            </w:tcBorders>
            <w:shd w:val="clear" w:color="auto" w:fill="auto"/>
          </w:tcPr>
          <w:p w14:paraId="1B0CC04F" w14:textId="77777777" w:rsidR="00F85C99" w:rsidRPr="002F6A28" w:rsidRDefault="00B45E4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33A4527" w14:textId="77777777" w:rsidR="00F85C99" w:rsidRPr="002F6A28" w:rsidRDefault="00B45E48"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Products without an intended medical purpose listed in Annex XVI of Regulation (EU) 2017/745 will be regulated for the first time under the medical device legislation from the date of application of the common specifications. Therefore, the adoption of the common specifications is awaited by manufacturers of products without an intended medical purpose as well as notified bodies intended to be designated to carry out the relevant conformity assessment procedures. The sooner the common specifications are adopted, the sooner the medical device regulation will cover also the products without an intended medical purpose, significantly enhancing the harmonisation </w:t>
            </w:r>
            <w:r w:rsidR="00EE3A11" w:rsidRPr="00C379C8">
              <w:lastRenderedPageBreak/>
              <w:t>of the internal market and the safety of the products covered. Protection of human health or safety</w:t>
            </w:r>
            <w:bookmarkStart w:id="27" w:name="sps7f"/>
            <w:bookmarkEnd w:id="27"/>
          </w:p>
        </w:tc>
      </w:tr>
      <w:tr w:rsidR="00781CC8" w:rsidRPr="00EE51C2" w14:paraId="7A2AFDB6" w14:textId="77777777" w:rsidTr="0069259F">
        <w:tc>
          <w:tcPr>
            <w:tcW w:w="713" w:type="dxa"/>
            <w:tcBorders>
              <w:top w:val="single" w:sz="6" w:space="0" w:color="auto"/>
              <w:bottom w:val="single" w:sz="6" w:space="0" w:color="auto"/>
            </w:tcBorders>
            <w:shd w:val="clear" w:color="auto" w:fill="auto"/>
          </w:tcPr>
          <w:p w14:paraId="13814C89" w14:textId="77777777" w:rsidR="00F85C99" w:rsidRPr="002F6A28" w:rsidRDefault="00B45E48"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261D90B" w14:textId="77777777" w:rsidR="00F85C99" w:rsidRPr="00EE0B3A" w:rsidRDefault="00B45E48" w:rsidP="009E75ED">
            <w:pPr>
              <w:spacing w:before="120" w:after="120"/>
              <w:rPr>
                <w:lang w:val="es-ES"/>
              </w:rPr>
            </w:pPr>
            <w:bookmarkStart w:id="28" w:name="X_TBT_Reg_8A"/>
            <w:r w:rsidRPr="002F6A28">
              <w:rPr>
                <w:b/>
              </w:rPr>
              <w:t>Relevant documents</w:t>
            </w:r>
            <w:bookmarkEnd w:id="28"/>
            <w:r w:rsidRPr="002F6A28">
              <w:rPr>
                <w:b/>
              </w:rPr>
              <w:t>:</w:t>
            </w:r>
            <w:r w:rsidR="00EE3A11" w:rsidRPr="002F6A28">
              <w:t xml:space="preserve"> </w:t>
            </w:r>
            <w:r w:rsidRPr="002F6A28">
              <w:rPr>
                <w:bCs/>
              </w:rPr>
              <w:t xml:space="preserve">Regulation (EU) 2017/745 of the European Parliament and of the Council of 5 April 2017 on medical devices, amending Directive 2011/83/EC, Regulation (EC) No 178/2002 and Regulation (EC) No 1223/2009 and repealing Council Directives 90/385/EEC and 93/42/EEC. </w:t>
            </w:r>
            <w:r w:rsidRPr="00EE0B3A">
              <w:rPr>
                <w:bCs/>
                <w:lang w:val="es-ES"/>
              </w:rPr>
              <w:t>(OJ L 117, 5.2017, p. 1-175).</w:t>
            </w:r>
          </w:p>
          <w:p w14:paraId="5ED05A74" w14:textId="77777777" w:rsidR="00846796" w:rsidRPr="00EE0B3A" w:rsidRDefault="00EE51C2" w:rsidP="009E75ED">
            <w:pPr>
              <w:spacing w:before="120" w:after="120"/>
              <w:rPr>
                <w:bCs/>
                <w:lang w:val="es-ES"/>
              </w:rPr>
            </w:pPr>
            <w:hyperlink r:id="rId9" w:history="1">
              <w:r w:rsidR="00B45E48" w:rsidRPr="00EE0B3A">
                <w:rPr>
                  <w:bCs/>
                  <w:color w:val="0000FF"/>
                  <w:u w:val="single"/>
                  <w:lang w:val="es-ES"/>
                </w:rPr>
                <w:t>https://eur-lex.europa.eu/legal-content/EN/TXT/?uri=CELEX%3A32017R0745</w:t>
              </w:r>
            </w:hyperlink>
            <w:bookmarkStart w:id="29" w:name="sps9a"/>
            <w:bookmarkStart w:id="30" w:name="sps9b"/>
            <w:bookmarkEnd w:id="29"/>
            <w:bookmarkEnd w:id="30"/>
          </w:p>
        </w:tc>
      </w:tr>
      <w:tr w:rsidR="00781CC8" w14:paraId="57F1411B" w14:textId="77777777" w:rsidTr="00AE6CC8">
        <w:trPr>
          <w:cantSplit/>
        </w:trPr>
        <w:tc>
          <w:tcPr>
            <w:tcW w:w="713" w:type="dxa"/>
            <w:tcBorders>
              <w:top w:val="single" w:sz="6" w:space="0" w:color="auto"/>
              <w:bottom w:val="single" w:sz="6" w:space="0" w:color="auto"/>
            </w:tcBorders>
            <w:shd w:val="clear" w:color="auto" w:fill="auto"/>
          </w:tcPr>
          <w:p w14:paraId="5E542CB2" w14:textId="77777777" w:rsidR="00EE3A11" w:rsidRPr="002F6A28" w:rsidRDefault="00B45E4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E4392FC" w14:textId="77777777" w:rsidR="00EE3A11" w:rsidRPr="002F6A28" w:rsidRDefault="00B45E4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2nd quarter 2022</w:t>
            </w:r>
            <w:bookmarkEnd w:id="33"/>
          </w:p>
          <w:p w14:paraId="616AC415" w14:textId="77777777" w:rsidR="00EE3A11" w:rsidRPr="002F6A28" w:rsidRDefault="00B45E4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20 days from publication in the Official Journal of the EU (The provisions shall apply as from six month after the date of their entering into force)</w:t>
            </w:r>
            <w:bookmarkEnd w:id="36"/>
          </w:p>
        </w:tc>
      </w:tr>
      <w:tr w:rsidR="00781CC8" w14:paraId="624201D8" w14:textId="77777777" w:rsidTr="0069259F">
        <w:tc>
          <w:tcPr>
            <w:tcW w:w="713" w:type="dxa"/>
            <w:tcBorders>
              <w:top w:val="single" w:sz="6" w:space="0" w:color="auto"/>
              <w:bottom w:val="single" w:sz="6" w:space="0" w:color="auto"/>
            </w:tcBorders>
            <w:shd w:val="clear" w:color="auto" w:fill="auto"/>
          </w:tcPr>
          <w:p w14:paraId="5D5B7CBA" w14:textId="77777777" w:rsidR="00F85C99" w:rsidRPr="002F6A28" w:rsidRDefault="00B45E4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CCD632" w14:textId="77777777" w:rsidR="00F85C99" w:rsidRPr="002F6A28" w:rsidRDefault="00B45E48"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781CC8" w14:paraId="7EECC218" w14:textId="77777777" w:rsidTr="0069259F">
        <w:tc>
          <w:tcPr>
            <w:tcW w:w="713" w:type="dxa"/>
            <w:tcBorders>
              <w:top w:val="single" w:sz="6" w:space="0" w:color="auto"/>
            </w:tcBorders>
            <w:shd w:val="clear" w:color="auto" w:fill="auto"/>
          </w:tcPr>
          <w:p w14:paraId="194DB8D4" w14:textId="77777777" w:rsidR="00F85C99" w:rsidRPr="002F6A28" w:rsidRDefault="00B45E4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5B84C12" w14:textId="77777777" w:rsidR="00F85C99" w:rsidRPr="002F6A28" w:rsidRDefault="00B45E4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1A4B2B14" w14:textId="77777777" w:rsidR="00846796" w:rsidRPr="002F6A28" w:rsidRDefault="00B45E48"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0" w:history="1">
              <w:r w:rsidRPr="002F6A28">
                <w:rPr>
                  <w:color w:val="0000FF"/>
                  <w:u w:val="single"/>
                </w:rPr>
                <w:t>grow-eu-tbt@ec.europa.eu</w:t>
              </w:r>
            </w:hyperlink>
            <w:r w:rsidRPr="002F6A28">
              <w:br/>
            </w:r>
            <w:r w:rsidRPr="002F6A28">
              <w:br/>
              <w:t xml:space="preserve">The text is available on the EU-TBT Website : </w:t>
            </w:r>
            <w:hyperlink r:id="rId11" w:history="1">
              <w:r w:rsidRPr="002F6A28">
                <w:rPr>
                  <w:color w:val="0000FF"/>
                  <w:u w:val="single"/>
                </w:rPr>
                <w:t>http://ec.europa.eu/growth/tools-databases/tbt/en/</w:t>
              </w:r>
            </w:hyperlink>
          </w:p>
          <w:p w14:paraId="50C05E41" w14:textId="77777777" w:rsidR="00846796" w:rsidRPr="002F6A28" w:rsidRDefault="00EE51C2" w:rsidP="00B16145">
            <w:pPr>
              <w:keepNext/>
              <w:keepLines/>
              <w:spacing w:before="120" w:after="120"/>
              <w:jc w:val="left"/>
            </w:pPr>
            <w:hyperlink r:id="rId12" w:history="1">
              <w:r w:rsidR="00B45E48" w:rsidRPr="002F6A28">
                <w:rPr>
                  <w:color w:val="0000FF"/>
                  <w:u w:val="single"/>
                </w:rPr>
                <w:t>https://members.wto.org/crnattachments/2022/TBT/EEC/22_0408_00_e.pdf</w:t>
              </w:r>
            </w:hyperlink>
            <w:r w:rsidR="00B45E48" w:rsidRPr="002F6A28">
              <w:br/>
            </w:r>
            <w:hyperlink r:id="rId13" w:history="1">
              <w:r w:rsidR="00B45E48" w:rsidRPr="002F6A28">
                <w:rPr>
                  <w:color w:val="0000FF"/>
                  <w:u w:val="single"/>
                </w:rPr>
                <w:t>https://members.wto.org/crnattachments/2022/TBT/EEC/22_0408_01_e.pdf</w:t>
              </w:r>
            </w:hyperlink>
            <w:bookmarkEnd w:id="42"/>
          </w:p>
        </w:tc>
      </w:tr>
    </w:tbl>
    <w:p w14:paraId="5BDF14CB"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A5227" w14:textId="77777777" w:rsidR="0084504F" w:rsidRDefault="00B45E48">
      <w:r>
        <w:separator/>
      </w:r>
    </w:p>
  </w:endnote>
  <w:endnote w:type="continuationSeparator" w:id="0">
    <w:p w14:paraId="509E51B6" w14:textId="77777777" w:rsidR="0084504F" w:rsidRDefault="00B4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7249C" w14:textId="77777777" w:rsidR="009239F7" w:rsidRPr="002F6A28" w:rsidRDefault="00B45E4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1D7F" w14:textId="77777777" w:rsidR="009239F7" w:rsidRPr="002F6A28" w:rsidRDefault="00B45E4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3404" w14:textId="77777777" w:rsidR="00EE3A11" w:rsidRPr="002F6A28" w:rsidRDefault="00B45E4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D962D" w14:textId="77777777" w:rsidR="0084504F" w:rsidRDefault="00B45E48">
      <w:r>
        <w:separator/>
      </w:r>
    </w:p>
  </w:footnote>
  <w:footnote w:type="continuationSeparator" w:id="0">
    <w:p w14:paraId="6348CF47" w14:textId="77777777" w:rsidR="0084504F" w:rsidRDefault="00B4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DFA00" w14:textId="77777777" w:rsidR="009239F7" w:rsidRPr="002F6A28" w:rsidRDefault="00B45E48" w:rsidP="009239F7">
    <w:pPr>
      <w:pStyle w:val="Header"/>
      <w:pBdr>
        <w:bottom w:val="single" w:sz="4" w:space="1" w:color="auto"/>
      </w:pBdr>
      <w:tabs>
        <w:tab w:val="clear" w:pos="4513"/>
        <w:tab w:val="clear" w:pos="9027"/>
      </w:tabs>
      <w:jc w:val="center"/>
    </w:pPr>
    <w:r w:rsidRPr="002F6A28">
      <w:t>tbtSymbol</w:t>
    </w:r>
  </w:p>
  <w:p w14:paraId="14DC9A29" w14:textId="77777777" w:rsidR="009239F7" w:rsidRPr="002F6A28" w:rsidRDefault="009239F7" w:rsidP="009239F7">
    <w:pPr>
      <w:pStyle w:val="Header"/>
      <w:pBdr>
        <w:bottom w:val="single" w:sz="4" w:space="1" w:color="auto"/>
      </w:pBdr>
      <w:tabs>
        <w:tab w:val="clear" w:pos="4513"/>
        <w:tab w:val="clear" w:pos="9027"/>
      </w:tabs>
      <w:jc w:val="center"/>
    </w:pPr>
  </w:p>
  <w:p w14:paraId="6E12C74C" w14:textId="77777777" w:rsidR="009239F7" w:rsidRPr="002F6A28" w:rsidRDefault="00B45E4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74957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C6F03" w14:textId="77777777" w:rsidR="009239F7" w:rsidRPr="002F6A28" w:rsidRDefault="00B45E48" w:rsidP="009239F7">
    <w:pPr>
      <w:pStyle w:val="Header"/>
      <w:pBdr>
        <w:bottom w:val="single" w:sz="4" w:space="1" w:color="auto"/>
      </w:pBdr>
      <w:tabs>
        <w:tab w:val="clear" w:pos="4513"/>
        <w:tab w:val="clear" w:pos="9027"/>
      </w:tabs>
      <w:jc w:val="center"/>
    </w:pPr>
    <w:bookmarkStart w:id="43" w:name="spsSymbolHeader"/>
    <w:r w:rsidRPr="002F6A28">
      <w:t>G/TBT/N/EU/866</w:t>
    </w:r>
    <w:bookmarkEnd w:id="43"/>
  </w:p>
  <w:p w14:paraId="4EFBAB05" w14:textId="77777777" w:rsidR="009239F7" w:rsidRPr="002F6A28" w:rsidRDefault="009239F7" w:rsidP="009239F7">
    <w:pPr>
      <w:pStyle w:val="Header"/>
      <w:pBdr>
        <w:bottom w:val="single" w:sz="4" w:space="1" w:color="auto"/>
      </w:pBdr>
      <w:tabs>
        <w:tab w:val="clear" w:pos="4513"/>
        <w:tab w:val="clear" w:pos="9027"/>
      </w:tabs>
      <w:jc w:val="center"/>
    </w:pPr>
  </w:p>
  <w:p w14:paraId="27DCABFF" w14:textId="77777777" w:rsidR="009239F7" w:rsidRPr="002F6A28" w:rsidRDefault="00B45E4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BF0C8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1CC8" w14:paraId="68EAD0F8" w14:textId="77777777" w:rsidTr="008612A9">
      <w:trPr>
        <w:trHeight w:val="240"/>
        <w:jc w:val="center"/>
      </w:trPr>
      <w:tc>
        <w:tcPr>
          <w:tcW w:w="3794" w:type="dxa"/>
          <w:shd w:val="clear" w:color="auto" w:fill="FFFFFF"/>
          <w:tcMar>
            <w:left w:w="108" w:type="dxa"/>
            <w:right w:w="108" w:type="dxa"/>
          </w:tcMar>
          <w:vAlign w:val="center"/>
        </w:tcPr>
        <w:p w14:paraId="473AD6F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75592BB" w14:textId="77777777" w:rsidR="00ED54E0" w:rsidRPr="009239F7" w:rsidRDefault="00ED54E0" w:rsidP="00B801E9">
          <w:pPr>
            <w:jc w:val="right"/>
            <w:rPr>
              <w:b/>
              <w:color w:val="FF0000"/>
              <w:szCs w:val="16"/>
            </w:rPr>
          </w:pPr>
        </w:p>
      </w:tc>
    </w:tr>
    <w:bookmarkEnd w:id="44"/>
    <w:tr w:rsidR="00781CC8" w14:paraId="1BECC95B" w14:textId="77777777" w:rsidTr="008612A9">
      <w:trPr>
        <w:trHeight w:val="213"/>
        <w:jc w:val="center"/>
      </w:trPr>
      <w:tc>
        <w:tcPr>
          <w:tcW w:w="3794" w:type="dxa"/>
          <w:vMerge w:val="restart"/>
          <w:shd w:val="clear" w:color="auto" w:fill="FFFFFF"/>
          <w:tcMar>
            <w:left w:w="0" w:type="dxa"/>
            <w:right w:w="0" w:type="dxa"/>
          </w:tcMar>
        </w:tcPr>
        <w:p w14:paraId="135FAD69" w14:textId="77777777" w:rsidR="00ED54E0" w:rsidRPr="009239F7" w:rsidRDefault="00B45E48" w:rsidP="00B801E9">
          <w:pPr>
            <w:jc w:val="left"/>
          </w:pPr>
          <w:r>
            <w:rPr>
              <w:noProof/>
              <w:lang w:eastAsia="en-GB"/>
            </w:rPr>
            <w:drawing>
              <wp:inline distT="0" distB="0" distL="0" distR="0" wp14:anchorId="6B47EEC3" wp14:editId="419F950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585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8C5D86" w14:textId="77777777" w:rsidR="00ED54E0" w:rsidRPr="009239F7" w:rsidRDefault="00ED54E0" w:rsidP="00B801E9">
          <w:pPr>
            <w:jc w:val="right"/>
            <w:rPr>
              <w:b/>
              <w:szCs w:val="16"/>
            </w:rPr>
          </w:pPr>
        </w:p>
      </w:tc>
    </w:tr>
    <w:tr w:rsidR="00781CC8" w14:paraId="60BE4974" w14:textId="77777777" w:rsidTr="008612A9">
      <w:trPr>
        <w:trHeight w:val="868"/>
        <w:jc w:val="center"/>
      </w:trPr>
      <w:tc>
        <w:tcPr>
          <w:tcW w:w="3794" w:type="dxa"/>
          <w:vMerge/>
          <w:shd w:val="clear" w:color="auto" w:fill="FFFFFF"/>
          <w:tcMar>
            <w:left w:w="108" w:type="dxa"/>
            <w:right w:w="108" w:type="dxa"/>
          </w:tcMar>
        </w:tcPr>
        <w:p w14:paraId="65F55C3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0DF4748" w14:textId="77777777" w:rsidR="009239F7" w:rsidRPr="002F6A28" w:rsidRDefault="00B45E48" w:rsidP="00B801E9">
          <w:pPr>
            <w:jc w:val="right"/>
            <w:rPr>
              <w:b/>
              <w:szCs w:val="16"/>
            </w:rPr>
          </w:pPr>
          <w:bookmarkStart w:id="45" w:name="bmkSymbols"/>
          <w:r w:rsidRPr="002F6A28">
            <w:rPr>
              <w:b/>
              <w:szCs w:val="16"/>
            </w:rPr>
            <w:t>G/TBT/N/EU/866</w:t>
          </w:r>
          <w:bookmarkEnd w:id="45"/>
        </w:p>
      </w:tc>
    </w:tr>
    <w:tr w:rsidR="00781CC8" w14:paraId="7C70A8FE" w14:textId="77777777" w:rsidTr="008612A9">
      <w:trPr>
        <w:trHeight w:val="240"/>
        <w:jc w:val="center"/>
      </w:trPr>
      <w:tc>
        <w:tcPr>
          <w:tcW w:w="3794" w:type="dxa"/>
          <w:vMerge/>
          <w:shd w:val="clear" w:color="auto" w:fill="FFFFFF"/>
          <w:tcMar>
            <w:left w:w="108" w:type="dxa"/>
            <w:right w:w="108" w:type="dxa"/>
          </w:tcMar>
          <w:vAlign w:val="center"/>
        </w:tcPr>
        <w:p w14:paraId="7F14DF19" w14:textId="77777777" w:rsidR="00ED54E0" w:rsidRPr="009239F7" w:rsidRDefault="00ED54E0" w:rsidP="00B801E9"/>
      </w:tc>
      <w:tc>
        <w:tcPr>
          <w:tcW w:w="5448" w:type="dxa"/>
          <w:gridSpan w:val="2"/>
          <w:shd w:val="clear" w:color="auto" w:fill="FFFFFF"/>
          <w:tcMar>
            <w:left w:w="108" w:type="dxa"/>
            <w:right w:w="108" w:type="dxa"/>
          </w:tcMar>
          <w:vAlign w:val="center"/>
        </w:tcPr>
        <w:p w14:paraId="5EBFBADD" w14:textId="51AAD8A1" w:rsidR="00ED54E0" w:rsidRPr="009239F7" w:rsidRDefault="00B45E48" w:rsidP="00B801E9">
          <w:pPr>
            <w:jc w:val="right"/>
            <w:rPr>
              <w:szCs w:val="16"/>
            </w:rPr>
          </w:pPr>
          <w:bookmarkStart w:id="46" w:name="spsDateDistribution"/>
          <w:bookmarkStart w:id="47" w:name="bmkDate"/>
          <w:bookmarkEnd w:id="46"/>
          <w:bookmarkEnd w:id="47"/>
          <w:r>
            <w:rPr>
              <w:szCs w:val="16"/>
            </w:rPr>
            <w:t>18 January 2022</w:t>
          </w:r>
        </w:p>
      </w:tc>
    </w:tr>
    <w:tr w:rsidR="00781CC8" w14:paraId="577FC18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100A05" w14:textId="20966E0A" w:rsidR="00ED54E0" w:rsidRPr="009239F7" w:rsidRDefault="00B45E4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E51C2">
            <w:rPr>
              <w:color w:val="FF0000"/>
              <w:szCs w:val="16"/>
            </w:rPr>
            <w:t>0370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5D0B1A" w14:textId="77777777" w:rsidR="00ED54E0" w:rsidRPr="009239F7" w:rsidRDefault="00B45E4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81CC8" w14:paraId="285173B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2F62A1" w14:textId="77777777" w:rsidR="00ED54E0" w:rsidRPr="009239F7" w:rsidRDefault="00B45E4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3E7A27D" w14:textId="77777777" w:rsidR="00ED54E0" w:rsidRPr="002F6A28" w:rsidRDefault="00B45E4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57D2342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1EFE16">
      <w:start w:val="1"/>
      <w:numFmt w:val="decimal"/>
      <w:pStyle w:val="SummaryText"/>
      <w:lvlText w:val="%1."/>
      <w:lvlJc w:val="left"/>
      <w:pPr>
        <w:ind w:left="360" w:hanging="360"/>
      </w:pPr>
    </w:lvl>
    <w:lvl w:ilvl="1" w:tplc="3F121D04" w:tentative="1">
      <w:start w:val="1"/>
      <w:numFmt w:val="lowerLetter"/>
      <w:lvlText w:val="%2."/>
      <w:lvlJc w:val="left"/>
      <w:pPr>
        <w:ind w:left="1080" w:hanging="360"/>
      </w:pPr>
    </w:lvl>
    <w:lvl w:ilvl="2" w:tplc="ACEE95E8" w:tentative="1">
      <w:start w:val="1"/>
      <w:numFmt w:val="lowerRoman"/>
      <w:lvlText w:val="%3."/>
      <w:lvlJc w:val="right"/>
      <w:pPr>
        <w:ind w:left="1800" w:hanging="180"/>
      </w:pPr>
    </w:lvl>
    <w:lvl w:ilvl="3" w:tplc="7752E066" w:tentative="1">
      <w:start w:val="1"/>
      <w:numFmt w:val="decimal"/>
      <w:lvlText w:val="%4."/>
      <w:lvlJc w:val="left"/>
      <w:pPr>
        <w:ind w:left="2520" w:hanging="360"/>
      </w:pPr>
    </w:lvl>
    <w:lvl w:ilvl="4" w:tplc="5C4AF5EC" w:tentative="1">
      <w:start w:val="1"/>
      <w:numFmt w:val="lowerLetter"/>
      <w:lvlText w:val="%5."/>
      <w:lvlJc w:val="left"/>
      <w:pPr>
        <w:ind w:left="3240" w:hanging="360"/>
      </w:pPr>
    </w:lvl>
    <w:lvl w:ilvl="5" w:tplc="E94454B0" w:tentative="1">
      <w:start w:val="1"/>
      <w:numFmt w:val="lowerRoman"/>
      <w:lvlText w:val="%6."/>
      <w:lvlJc w:val="right"/>
      <w:pPr>
        <w:ind w:left="3960" w:hanging="180"/>
      </w:pPr>
    </w:lvl>
    <w:lvl w:ilvl="6" w:tplc="54EA162A" w:tentative="1">
      <w:start w:val="1"/>
      <w:numFmt w:val="decimal"/>
      <w:lvlText w:val="%7."/>
      <w:lvlJc w:val="left"/>
      <w:pPr>
        <w:ind w:left="4680" w:hanging="360"/>
      </w:pPr>
    </w:lvl>
    <w:lvl w:ilvl="7" w:tplc="BE8C916E" w:tentative="1">
      <w:start w:val="1"/>
      <w:numFmt w:val="lowerLetter"/>
      <w:lvlText w:val="%8."/>
      <w:lvlJc w:val="left"/>
      <w:pPr>
        <w:ind w:left="5400" w:hanging="360"/>
      </w:pPr>
    </w:lvl>
    <w:lvl w:ilvl="8" w:tplc="D068C8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81CC8"/>
    <w:rsid w:val="007B4DE8"/>
    <w:rsid w:val="007D20BB"/>
    <w:rsid w:val="007E1308"/>
    <w:rsid w:val="007E6507"/>
    <w:rsid w:val="007F2B8E"/>
    <w:rsid w:val="008055FB"/>
    <w:rsid w:val="00807247"/>
    <w:rsid w:val="00812D1D"/>
    <w:rsid w:val="008159AC"/>
    <w:rsid w:val="00832EE1"/>
    <w:rsid w:val="008378EF"/>
    <w:rsid w:val="00840C2B"/>
    <w:rsid w:val="0084504F"/>
    <w:rsid w:val="00846796"/>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5E48"/>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0B3A"/>
    <w:rsid w:val="00EE3A11"/>
    <w:rsid w:val="00EE4445"/>
    <w:rsid w:val="00EE51C2"/>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3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0408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0408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ur-lex.europa.eu/legal-content/EN/TXT/?uri=CELEX%3A32017R074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3348</Characters>
  <Application>Microsoft Office Word</Application>
  <DocSecurity>0</DocSecurity>
  <Lines>74</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2022-01-18T09:32:00Z</dcterms:created>
  <dcterms:modified xsi:type="dcterms:W3CDTF">2022-01-18T09:39:00Z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