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CE973" w14:textId="77777777" w:rsidR="009239F7" w:rsidRPr="002F6A28" w:rsidRDefault="000545E7" w:rsidP="002F6A28">
      <w:pPr>
        <w:pStyle w:val="Title"/>
        <w:rPr>
          <w:caps w:val="0"/>
          <w:kern w:val="0"/>
        </w:rPr>
      </w:pPr>
      <w:r w:rsidRPr="002F6A28">
        <w:rPr>
          <w:caps w:val="0"/>
          <w:kern w:val="0"/>
        </w:rPr>
        <w:t>NOTIFICATION</w:t>
      </w:r>
    </w:p>
    <w:p w14:paraId="6CF4A901" w14:textId="77777777" w:rsidR="009239F7" w:rsidRPr="002F6A28" w:rsidRDefault="000545E7" w:rsidP="002F6A28">
      <w:pPr>
        <w:jc w:val="center"/>
      </w:pPr>
      <w:r w:rsidRPr="002F6A28">
        <w:t>The following notification is being circulated in accordance with Article 10.6</w:t>
      </w:r>
    </w:p>
    <w:p w14:paraId="01048F7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D42C5" w14:paraId="7982E2A6" w14:textId="77777777" w:rsidTr="0069259F">
        <w:tc>
          <w:tcPr>
            <w:tcW w:w="713" w:type="dxa"/>
            <w:tcBorders>
              <w:bottom w:val="single" w:sz="6" w:space="0" w:color="auto"/>
            </w:tcBorders>
            <w:shd w:val="clear" w:color="auto" w:fill="auto"/>
          </w:tcPr>
          <w:p w14:paraId="270084B3" w14:textId="77777777" w:rsidR="00F85C99" w:rsidRPr="002F6A28" w:rsidRDefault="000545E7" w:rsidP="002F6A28">
            <w:pPr>
              <w:spacing w:before="120" w:after="120"/>
              <w:jc w:val="left"/>
            </w:pPr>
            <w:r w:rsidRPr="002F6A28">
              <w:rPr>
                <w:b/>
              </w:rPr>
              <w:t>1.</w:t>
            </w:r>
          </w:p>
        </w:tc>
        <w:tc>
          <w:tcPr>
            <w:tcW w:w="8546" w:type="dxa"/>
            <w:tcBorders>
              <w:bottom w:val="single" w:sz="6" w:space="0" w:color="auto"/>
            </w:tcBorders>
            <w:shd w:val="clear" w:color="auto" w:fill="auto"/>
          </w:tcPr>
          <w:p w14:paraId="59EF90E8" w14:textId="77777777" w:rsidR="00F85C99" w:rsidRPr="002F6A28" w:rsidRDefault="000545E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5696FD5E" w14:textId="77777777" w:rsidR="00F85C99" w:rsidRPr="002F6A28" w:rsidRDefault="000545E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D42C5" w:rsidRPr="00B506EA" w14:paraId="2AA2AA5D" w14:textId="77777777" w:rsidTr="0069259F">
        <w:tc>
          <w:tcPr>
            <w:tcW w:w="713" w:type="dxa"/>
            <w:tcBorders>
              <w:top w:val="single" w:sz="6" w:space="0" w:color="auto"/>
              <w:bottom w:val="single" w:sz="6" w:space="0" w:color="auto"/>
            </w:tcBorders>
            <w:shd w:val="clear" w:color="auto" w:fill="auto"/>
          </w:tcPr>
          <w:p w14:paraId="2D3E02E7" w14:textId="77777777" w:rsidR="00F85C99" w:rsidRPr="002F6A28" w:rsidRDefault="000545E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F02107D" w14:textId="77777777" w:rsidR="00F85C99" w:rsidRPr="002F6A28" w:rsidRDefault="000545E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4D3F6A92" w14:textId="77777777" w:rsidR="00F85C99" w:rsidRPr="002F6A28" w:rsidRDefault="000545E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4E830BE" w14:textId="77777777" w:rsidR="0044395A" w:rsidRPr="00496D42" w:rsidRDefault="000545E7" w:rsidP="00AA646C">
            <w:pPr>
              <w:spacing w:after="120"/>
              <w:jc w:val="left"/>
              <w:rPr>
                <w:lang w:val="fr-CH"/>
              </w:rPr>
            </w:pPr>
            <w:r w:rsidRPr="00496D42">
              <w:rPr>
                <w:lang w:val="fr-CH"/>
              </w:rPr>
              <w:t>European Commission,</w:t>
            </w:r>
            <w:r w:rsidRPr="00496D42">
              <w:rPr>
                <w:lang w:val="fr-CH"/>
              </w:rPr>
              <w:br/>
              <w:t>EU-TBT Enquiry Point,</w:t>
            </w:r>
            <w:r w:rsidRPr="00496D42">
              <w:rPr>
                <w:lang w:val="fr-CH"/>
              </w:rPr>
              <w:br/>
            </w:r>
            <w:proofErr w:type="gramStart"/>
            <w:r w:rsidRPr="00496D42">
              <w:rPr>
                <w:lang w:val="fr-CH"/>
              </w:rPr>
              <w:t>Fax:</w:t>
            </w:r>
            <w:proofErr w:type="gramEnd"/>
            <w:r w:rsidRPr="00496D42">
              <w:rPr>
                <w:lang w:val="fr-CH"/>
              </w:rPr>
              <w:t xml:space="preserve"> +(32) 2 299 80 43,</w:t>
            </w:r>
            <w:r w:rsidRPr="00496D42">
              <w:rPr>
                <w:lang w:val="fr-CH"/>
              </w:rPr>
              <w:br/>
              <w:t xml:space="preserve">E-mail: </w:t>
            </w:r>
            <w:hyperlink r:id="rId7" w:history="1">
              <w:r w:rsidRPr="00496D42">
                <w:rPr>
                  <w:color w:val="0000FF"/>
                  <w:u w:val="single"/>
                  <w:lang w:val="fr-CH"/>
                </w:rPr>
                <w:t>grow-eu-tbt@ec.europa.eu</w:t>
              </w:r>
            </w:hyperlink>
            <w:r w:rsidRPr="00496D42">
              <w:rPr>
                <w:lang w:val="fr-CH"/>
              </w:rPr>
              <w:br/>
              <w:t xml:space="preserve">Website: </w:t>
            </w:r>
            <w:hyperlink r:id="rId8" w:history="1">
              <w:r w:rsidRPr="00496D42">
                <w:rPr>
                  <w:color w:val="0000FF"/>
                  <w:u w:val="single"/>
                  <w:lang w:val="fr-CH"/>
                </w:rPr>
                <w:t>http://ec.europa.eu/growth/tools-databases/tbt/en/</w:t>
              </w:r>
            </w:hyperlink>
            <w:r w:rsidRPr="00496D42">
              <w:rPr>
                <w:lang w:val="fr-CH"/>
              </w:rPr>
              <w:t xml:space="preserve"> </w:t>
            </w:r>
            <w:bookmarkEnd w:id="7"/>
          </w:p>
        </w:tc>
      </w:tr>
      <w:tr w:rsidR="005D42C5" w14:paraId="15443F9D" w14:textId="77777777" w:rsidTr="0069259F">
        <w:tc>
          <w:tcPr>
            <w:tcW w:w="713" w:type="dxa"/>
            <w:tcBorders>
              <w:top w:val="single" w:sz="6" w:space="0" w:color="auto"/>
              <w:bottom w:val="single" w:sz="6" w:space="0" w:color="auto"/>
            </w:tcBorders>
            <w:shd w:val="clear" w:color="auto" w:fill="auto"/>
          </w:tcPr>
          <w:p w14:paraId="3D6E743F" w14:textId="77777777" w:rsidR="00F85C99" w:rsidRPr="002F6A28" w:rsidRDefault="000545E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16E7325" w14:textId="77777777" w:rsidR="00F85C99" w:rsidRPr="0058336F" w:rsidRDefault="000545E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D42C5" w14:paraId="355B2D65" w14:textId="77777777" w:rsidTr="0069259F">
        <w:tc>
          <w:tcPr>
            <w:tcW w:w="713" w:type="dxa"/>
            <w:tcBorders>
              <w:top w:val="single" w:sz="6" w:space="0" w:color="auto"/>
              <w:bottom w:val="single" w:sz="6" w:space="0" w:color="auto"/>
            </w:tcBorders>
            <w:shd w:val="clear" w:color="auto" w:fill="auto"/>
          </w:tcPr>
          <w:p w14:paraId="76493676" w14:textId="77777777" w:rsidR="00F85C99" w:rsidRPr="002F6A28" w:rsidRDefault="000545E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1BB3132" w14:textId="77777777" w:rsidR="00F85C99" w:rsidRPr="002F6A28" w:rsidRDefault="000545E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Requirements for off mode, standby, and networked standby energy consumption of electrical and electronic household and office equipment.; TELECOMMUNICATIONS. AUDIO AND VIDEO ENGINEERING (ICS 33), Office machines (ICS 35.260), DOMESTIC AND COMMERCIAL EQUIPMENT. ENTERTAINMENT. SPORTS (ICS 97)</w:t>
            </w:r>
            <w:bookmarkStart w:id="20" w:name="sps3a"/>
            <w:bookmarkEnd w:id="20"/>
          </w:p>
        </w:tc>
      </w:tr>
      <w:tr w:rsidR="005D42C5" w14:paraId="015A3D39" w14:textId="77777777" w:rsidTr="0069259F">
        <w:tc>
          <w:tcPr>
            <w:tcW w:w="713" w:type="dxa"/>
            <w:tcBorders>
              <w:top w:val="single" w:sz="6" w:space="0" w:color="auto"/>
              <w:bottom w:val="single" w:sz="6" w:space="0" w:color="auto"/>
            </w:tcBorders>
            <w:shd w:val="clear" w:color="auto" w:fill="auto"/>
          </w:tcPr>
          <w:p w14:paraId="05E95AA1" w14:textId="77777777" w:rsidR="00F85C99" w:rsidRPr="002F6A28" w:rsidRDefault="000545E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4468B48" w14:textId="77777777" w:rsidR="00F85C99" w:rsidRPr="002F6A28" w:rsidRDefault="000545E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Regulation laying down ecodesign requirements for off mode, standby mode, and networked standby energy consumption of electrical and electronic household and office equipment pursuant to Directive 2009/125/EC of the European Parliament and of the Council (9 page(s), in English; 13 page(s), in English)</w:t>
            </w:r>
            <w:bookmarkStart w:id="22" w:name="sps5a"/>
            <w:bookmarkStart w:id="23" w:name="sps5c"/>
            <w:bookmarkStart w:id="24" w:name="sps5b"/>
            <w:bookmarkEnd w:id="22"/>
            <w:bookmarkEnd w:id="23"/>
            <w:bookmarkEnd w:id="24"/>
          </w:p>
        </w:tc>
      </w:tr>
      <w:tr w:rsidR="005D42C5" w14:paraId="580378FC" w14:textId="77777777" w:rsidTr="0069259F">
        <w:tc>
          <w:tcPr>
            <w:tcW w:w="713" w:type="dxa"/>
            <w:tcBorders>
              <w:top w:val="single" w:sz="6" w:space="0" w:color="auto"/>
              <w:bottom w:val="single" w:sz="6" w:space="0" w:color="auto"/>
            </w:tcBorders>
            <w:shd w:val="clear" w:color="auto" w:fill="auto"/>
          </w:tcPr>
          <w:p w14:paraId="7DEB750B" w14:textId="77777777" w:rsidR="00F85C99" w:rsidRPr="002F6A28" w:rsidRDefault="000545E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CF60FD2" w14:textId="77777777" w:rsidR="00F85C99" w:rsidRPr="002F6A28" w:rsidRDefault="000545E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Commission Regulation sets requirements regarding maximum energy consumption in off mode, standby and networked standby, as well as functional and information requirements related to these modes for various electrical and electronic household and office equipment.  </w:t>
            </w:r>
          </w:p>
          <w:p w14:paraId="16C9D52A" w14:textId="77777777" w:rsidR="00FE448B" w:rsidRPr="00C379C8" w:rsidRDefault="000545E7" w:rsidP="002F6A28">
            <w:pPr>
              <w:spacing w:after="120"/>
            </w:pPr>
            <w:r w:rsidRPr="00C379C8">
              <w:t>In accordance with Ecodesign Directive 2009/125/EC, products not meeting these requirements will not be allowed to be placed on the EU market. The draft Regulation is based on the findings of a technical, environmental and economic study which has been carried out in consultation with stakeholders. The measures proposed were the object of an impact assessment. The draft Regulation repeals Commission Regulations (EC) No 1275/2008.</w:t>
            </w:r>
          </w:p>
        </w:tc>
      </w:tr>
      <w:tr w:rsidR="005D42C5" w14:paraId="40728E9B" w14:textId="77777777" w:rsidTr="0069259F">
        <w:tc>
          <w:tcPr>
            <w:tcW w:w="713" w:type="dxa"/>
            <w:tcBorders>
              <w:top w:val="single" w:sz="6" w:space="0" w:color="auto"/>
              <w:bottom w:val="single" w:sz="6" w:space="0" w:color="auto"/>
            </w:tcBorders>
            <w:shd w:val="clear" w:color="auto" w:fill="auto"/>
          </w:tcPr>
          <w:p w14:paraId="18453563" w14:textId="77777777" w:rsidR="00F85C99" w:rsidRPr="002F6A28" w:rsidRDefault="000545E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21DE8A3" w14:textId="77777777" w:rsidR="00F85C99" w:rsidRPr="002F6A28" w:rsidRDefault="000545E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aim of this measure is to continue to improve the energy efficiency of the electrical and electronic household and office equipment in scope of this draft Regulation in a cost effective way, and to ensure that more environmentally friendly products are placed on the EU internal market. The measure will contribute to the EU </w:t>
            </w:r>
            <w:r w:rsidR="00EE3A11" w:rsidRPr="00C379C8">
              <w:lastRenderedPageBreak/>
              <w:t>objectives of improving energy efficiency and the security of energy supply, and reducing greenhouse gas emissions. Protection of the environment</w:t>
            </w:r>
            <w:bookmarkStart w:id="27" w:name="sps7f"/>
            <w:bookmarkEnd w:id="27"/>
          </w:p>
        </w:tc>
      </w:tr>
      <w:tr w:rsidR="005D42C5" w14:paraId="72BE3978" w14:textId="77777777" w:rsidTr="0069259F">
        <w:tc>
          <w:tcPr>
            <w:tcW w:w="713" w:type="dxa"/>
            <w:tcBorders>
              <w:top w:val="single" w:sz="6" w:space="0" w:color="auto"/>
              <w:bottom w:val="single" w:sz="6" w:space="0" w:color="auto"/>
            </w:tcBorders>
            <w:shd w:val="clear" w:color="auto" w:fill="auto"/>
          </w:tcPr>
          <w:p w14:paraId="05D59E8A" w14:textId="77777777" w:rsidR="00F85C99" w:rsidRPr="002F6A28" w:rsidRDefault="000545E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F2FB985" w14:textId="77777777" w:rsidR="00072B36" w:rsidRPr="002F6A28" w:rsidRDefault="000545E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4ED15A9" w14:textId="77777777" w:rsidR="00F85C99" w:rsidRPr="002F6A28" w:rsidRDefault="00B506EA" w:rsidP="009E75ED">
            <w:pPr>
              <w:spacing w:before="120" w:after="120"/>
            </w:pPr>
            <w:hyperlink r:id="rId9" w:tgtFrame="_blank" w:history="1">
              <w:r w:rsidR="000545E7" w:rsidRPr="002F6A28">
                <w:rPr>
                  <w:bCs/>
                  <w:color w:val="0000FF"/>
                  <w:u w:val="single"/>
                </w:rPr>
                <w:t>Directive 2009/125/EC</w:t>
              </w:r>
            </w:hyperlink>
            <w:r w:rsidR="000545E7" w:rsidRPr="002F6A28">
              <w:rPr>
                <w:bCs/>
              </w:rPr>
              <w:t xml:space="preserve"> of the European Parliament and of the Council of 21 October 2009 establishing a framework for the setting of ecodesign requirements for energy-related products, </w:t>
            </w:r>
            <w:r w:rsidR="000545E7" w:rsidRPr="002F6A28">
              <w:rPr>
                <w:bCs/>
                <w:i/>
                <w:iCs/>
              </w:rPr>
              <w:t>Official Journal L 285 , 31 October 2009, p. 010.</w:t>
            </w:r>
          </w:p>
          <w:p w14:paraId="6664AF10" w14:textId="77777777" w:rsidR="0044395A" w:rsidRPr="002F6A28" w:rsidRDefault="00B506EA" w:rsidP="009E75ED">
            <w:pPr>
              <w:spacing w:after="120"/>
              <w:rPr>
                <w:bCs/>
              </w:rPr>
            </w:pPr>
            <w:hyperlink r:id="rId10" w:history="1">
              <w:r w:rsidR="000545E7" w:rsidRPr="002F6A28">
                <w:rPr>
                  <w:bCs/>
                  <w:color w:val="0000FF"/>
                  <w:u w:val="single"/>
                </w:rPr>
                <w:t>https://eur-lex.europa.eu/legal-content/en/ALL/?uri=celex%3A32009L0125</w:t>
              </w:r>
            </w:hyperlink>
            <w:r w:rsidR="000545E7" w:rsidRPr="002F6A28">
              <w:rPr>
                <w:bCs/>
              </w:rPr>
              <w:t xml:space="preserve"> </w:t>
            </w:r>
          </w:p>
          <w:p w14:paraId="3F9CDB45" w14:textId="77777777" w:rsidR="0044395A" w:rsidRPr="002F6A28" w:rsidRDefault="000545E7" w:rsidP="009E75ED">
            <w:pPr>
              <w:spacing w:after="120"/>
              <w:rPr>
                <w:bCs/>
              </w:rPr>
            </w:pPr>
            <w:r w:rsidRPr="002F6A28">
              <w:rPr>
                <w:bCs/>
              </w:rPr>
              <w:t>Commission Regulation (EC) No 1275/2008 of 17 December 2008 implementing Directive 2005/32/EC of the European Parliament and of the Council with regard to ecodesign requirements for standby and off mode electric power consumption of electrical and electronic household and office equipment, Official Journal L 339, 18.12.2008, p. 45.</w:t>
            </w:r>
          </w:p>
          <w:p w14:paraId="7F94B377" w14:textId="77777777" w:rsidR="0044395A" w:rsidRPr="002F6A28" w:rsidRDefault="00B506EA" w:rsidP="009E75ED">
            <w:pPr>
              <w:spacing w:after="120"/>
              <w:rPr>
                <w:bCs/>
              </w:rPr>
            </w:pPr>
            <w:hyperlink r:id="rId11" w:history="1">
              <w:r w:rsidR="000545E7" w:rsidRPr="002F6A28">
                <w:rPr>
                  <w:bCs/>
                  <w:color w:val="0000FF"/>
                  <w:u w:val="single"/>
                </w:rPr>
                <w:t>https://eur-lex.europa.eu/legal-content/EN/TXT/?uri=CELEX%3A32008R1275</w:t>
              </w:r>
            </w:hyperlink>
            <w:r w:rsidR="000545E7" w:rsidRPr="002F6A28">
              <w:rPr>
                <w:bCs/>
              </w:rPr>
              <w:t xml:space="preserve"> </w:t>
            </w:r>
          </w:p>
          <w:p w14:paraId="06B5CE6D" w14:textId="77777777" w:rsidR="0044395A" w:rsidRPr="002F6A28" w:rsidRDefault="000545E7" w:rsidP="009E75ED">
            <w:pPr>
              <w:spacing w:after="120"/>
              <w:rPr>
                <w:bCs/>
              </w:rPr>
            </w:pPr>
            <w:r w:rsidRPr="002F6A28">
              <w:rPr>
                <w:bCs/>
              </w:rPr>
              <w:t>Commission Regulation (EU) No 801/2013 of 22 August 2013 amending Regulation (EC) No 1275/2008 with regard to ecodesign requirements for standby, off mode electric power consumption of electrical and electronic household and office equipment, and amending Regulation (EC) No 642/2009 with regard to ecodesign requirements for televisions Official Journal L 225, 23.8.2013, p. 1.</w:t>
            </w:r>
            <w:r w:rsidRPr="002F6A28">
              <w:rPr>
                <w:bCs/>
              </w:rPr>
              <w:fldChar w:fldCharType="begin"/>
            </w:r>
            <w:r w:rsidRPr="002F6A28">
              <w:rPr>
                <w:bCs/>
              </w:rPr>
              <w:instrText xml:space="preserve"> HYPERLINK "https://eur-lex.europa.eu/legal-content/EN/TXT/?uri=celex%3A32013R0801" </w:instrText>
            </w:r>
            <w:r w:rsidRPr="002F6A28">
              <w:rPr>
                <w:bCs/>
              </w:rPr>
              <w:fldChar w:fldCharType="separate"/>
            </w:r>
          </w:p>
          <w:p w14:paraId="07BCD82F" w14:textId="77777777" w:rsidR="0044395A" w:rsidRPr="002F6A28" w:rsidRDefault="00B506EA" w:rsidP="009E75ED">
            <w:pPr>
              <w:spacing w:before="120" w:after="120"/>
              <w:rPr>
                <w:bCs/>
              </w:rPr>
            </w:pPr>
            <w:hyperlink r:id="rId12" w:history="1">
              <w:r w:rsidR="000545E7" w:rsidRPr="002F6A28">
                <w:rPr>
                  <w:bCs/>
                  <w:color w:val="0000FF"/>
                  <w:u w:val="single"/>
                </w:rPr>
                <w:t>https://eur-lex.europa.eu/legal-content/EN/TXT/?uri=celex%3A32013R0801</w:t>
              </w:r>
            </w:hyperlink>
            <w:r w:rsidR="000545E7" w:rsidRPr="002F6A28">
              <w:rPr>
                <w:bCs/>
              </w:rPr>
              <w:fldChar w:fldCharType="end"/>
            </w:r>
            <w:bookmarkStart w:id="29" w:name="sps9a"/>
            <w:bookmarkStart w:id="30" w:name="sps9b"/>
            <w:bookmarkEnd w:id="29"/>
            <w:bookmarkEnd w:id="30"/>
          </w:p>
        </w:tc>
      </w:tr>
      <w:tr w:rsidR="005D42C5" w14:paraId="1678CC18" w14:textId="77777777" w:rsidTr="00AE6CC8">
        <w:trPr>
          <w:cantSplit/>
        </w:trPr>
        <w:tc>
          <w:tcPr>
            <w:tcW w:w="713" w:type="dxa"/>
            <w:tcBorders>
              <w:top w:val="single" w:sz="6" w:space="0" w:color="auto"/>
              <w:bottom w:val="single" w:sz="6" w:space="0" w:color="auto"/>
            </w:tcBorders>
            <w:shd w:val="clear" w:color="auto" w:fill="auto"/>
          </w:tcPr>
          <w:p w14:paraId="06AFABDB" w14:textId="77777777" w:rsidR="00EE3A11" w:rsidRPr="002F6A28" w:rsidRDefault="000545E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C609C65" w14:textId="77777777" w:rsidR="00EE3A11" w:rsidRPr="002F6A28" w:rsidRDefault="000545E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September 2022</w:t>
            </w:r>
            <w:bookmarkEnd w:id="33"/>
          </w:p>
          <w:p w14:paraId="415C8C22" w14:textId="77777777" w:rsidR="00EE3A11" w:rsidRPr="002F6A28" w:rsidRDefault="000545E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The Regulation will enter into force on the twentieth day following that of its publication in the Official Journal of the European Union. The Regulation will apply from 01 September 2024.</w:t>
            </w:r>
            <w:bookmarkEnd w:id="36"/>
          </w:p>
        </w:tc>
      </w:tr>
      <w:tr w:rsidR="005D42C5" w14:paraId="09A9C4E2" w14:textId="77777777" w:rsidTr="0069259F">
        <w:tc>
          <w:tcPr>
            <w:tcW w:w="713" w:type="dxa"/>
            <w:tcBorders>
              <w:top w:val="single" w:sz="6" w:space="0" w:color="auto"/>
              <w:bottom w:val="single" w:sz="6" w:space="0" w:color="auto"/>
            </w:tcBorders>
            <w:shd w:val="clear" w:color="auto" w:fill="auto"/>
          </w:tcPr>
          <w:p w14:paraId="333A8318" w14:textId="77777777" w:rsidR="00F85C99" w:rsidRPr="002F6A28" w:rsidRDefault="000545E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6C40968" w14:textId="77777777" w:rsidR="00F85C99" w:rsidRPr="002F6A28" w:rsidRDefault="000545E7"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5D42C5" w14:paraId="71DDA6E6" w14:textId="77777777" w:rsidTr="0069259F">
        <w:tc>
          <w:tcPr>
            <w:tcW w:w="713" w:type="dxa"/>
            <w:tcBorders>
              <w:top w:val="single" w:sz="6" w:space="0" w:color="auto"/>
            </w:tcBorders>
            <w:shd w:val="clear" w:color="auto" w:fill="auto"/>
          </w:tcPr>
          <w:p w14:paraId="50F2CD5E" w14:textId="77777777" w:rsidR="00F85C99" w:rsidRPr="002F6A28" w:rsidRDefault="000545E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DBD82FE" w14:textId="77777777" w:rsidR="00F85C99" w:rsidRPr="002F6A28" w:rsidRDefault="000545E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 xml:space="preserve">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3A56F6B5" w14:textId="77777777" w:rsidR="0044395A" w:rsidRPr="002F6A28" w:rsidRDefault="000545E7"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3" w:history="1">
              <w:r w:rsidRPr="002F6A28">
                <w:rPr>
                  <w:color w:val="0000FF"/>
                  <w:u w:val="single"/>
                </w:rPr>
                <w:t>grow-eu-tbt@ec.europa.eu</w:t>
              </w:r>
            </w:hyperlink>
            <w:r w:rsidRPr="002F6A28">
              <w:br/>
            </w:r>
            <w:r w:rsidRPr="002F6A28">
              <w:br/>
              <w:t xml:space="preserve">The text is available on the EU-TBT Website : </w:t>
            </w:r>
            <w:hyperlink r:id="rId14" w:history="1">
              <w:r w:rsidRPr="002F6A28">
                <w:rPr>
                  <w:color w:val="0000FF"/>
                  <w:u w:val="single"/>
                </w:rPr>
                <w:t>http://ec.europa.eu/growth/tools-databases/tbt/en/</w:t>
              </w:r>
            </w:hyperlink>
          </w:p>
          <w:p w14:paraId="35434C94" w14:textId="77777777" w:rsidR="0044395A" w:rsidRPr="002F6A28" w:rsidRDefault="00B506EA" w:rsidP="00B16145">
            <w:pPr>
              <w:keepNext/>
              <w:keepLines/>
              <w:spacing w:before="120" w:after="120"/>
              <w:jc w:val="left"/>
            </w:pPr>
            <w:hyperlink r:id="rId15" w:history="1">
              <w:r w:rsidR="000545E7" w:rsidRPr="002F6A28">
                <w:rPr>
                  <w:color w:val="0000FF"/>
                  <w:u w:val="single"/>
                </w:rPr>
                <w:t>https://members.wto.org/crnattachments/2022/TBT/EU/22_0395_00_e.pdf</w:t>
              </w:r>
            </w:hyperlink>
            <w:r w:rsidR="000545E7" w:rsidRPr="002F6A28">
              <w:br/>
            </w:r>
            <w:hyperlink r:id="rId16" w:history="1">
              <w:r w:rsidR="000545E7" w:rsidRPr="002F6A28">
                <w:rPr>
                  <w:color w:val="0000FF"/>
                  <w:u w:val="single"/>
                </w:rPr>
                <w:t>https://members.wto.org/crnattachments/2022/TBT/EU/22_0395_01_e.pdf</w:t>
              </w:r>
            </w:hyperlink>
            <w:bookmarkEnd w:id="42"/>
          </w:p>
        </w:tc>
      </w:tr>
    </w:tbl>
    <w:p w14:paraId="5F58BD4A"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FA7EB" w14:textId="77777777" w:rsidR="005E6EFD" w:rsidRDefault="000545E7">
      <w:r>
        <w:separator/>
      </w:r>
    </w:p>
  </w:endnote>
  <w:endnote w:type="continuationSeparator" w:id="0">
    <w:p w14:paraId="587D7051" w14:textId="77777777" w:rsidR="005E6EFD" w:rsidRDefault="0005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8A579" w14:textId="77777777" w:rsidR="009239F7" w:rsidRPr="002F6A28" w:rsidRDefault="000545E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822E" w14:textId="77777777" w:rsidR="009239F7" w:rsidRPr="002F6A28" w:rsidRDefault="000545E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2CF6" w14:textId="77777777" w:rsidR="00EE3A11" w:rsidRPr="002F6A28" w:rsidRDefault="000545E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2A3E9" w14:textId="77777777" w:rsidR="005E6EFD" w:rsidRDefault="000545E7">
      <w:r>
        <w:separator/>
      </w:r>
    </w:p>
  </w:footnote>
  <w:footnote w:type="continuationSeparator" w:id="0">
    <w:p w14:paraId="0C2C1543" w14:textId="77777777" w:rsidR="005E6EFD" w:rsidRDefault="00054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9E47" w14:textId="77777777" w:rsidR="009239F7" w:rsidRPr="002F6A28" w:rsidRDefault="000545E7" w:rsidP="009239F7">
    <w:pPr>
      <w:pStyle w:val="Header"/>
      <w:pBdr>
        <w:bottom w:val="single" w:sz="4" w:space="1" w:color="auto"/>
      </w:pBdr>
      <w:tabs>
        <w:tab w:val="clear" w:pos="4513"/>
        <w:tab w:val="clear" w:pos="9027"/>
      </w:tabs>
      <w:jc w:val="center"/>
    </w:pPr>
    <w:r w:rsidRPr="002F6A28">
      <w:t>tbtSymbol</w:t>
    </w:r>
  </w:p>
  <w:p w14:paraId="4F00DCAA" w14:textId="77777777" w:rsidR="009239F7" w:rsidRPr="002F6A28" w:rsidRDefault="009239F7" w:rsidP="009239F7">
    <w:pPr>
      <w:pStyle w:val="Header"/>
      <w:pBdr>
        <w:bottom w:val="single" w:sz="4" w:space="1" w:color="auto"/>
      </w:pBdr>
      <w:tabs>
        <w:tab w:val="clear" w:pos="4513"/>
        <w:tab w:val="clear" w:pos="9027"/>
      </w:tabs>
      <w:jc w:val="center"/>
    </w:pPr>
  </w:p>
  <w:p w14:paraId="6F1E3B8C" w14:textId="77777777" w:rsidR="009239F7" w:rsidRPr="002F6A28" w:rsidRDefault="000545E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DF693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16B8" w14:textId="77777777" w:rsidR="009239F7" w:rsidRPr="002F6A28" w:rsidRDefault="000545E7" w:rsidP="009239F7">
    <w:pPr>
      <w:pStyle w:val="Header"/>
      <w:pBdr>
        <w:bottom w:val="single" w:sz="4" w:space="1" w:color="auto"/>
      </w:pBdr>
      <w:tabs>
        <w:tab w:val="clear" w:pos="4513"/>
        <w:tab w:val="clear" w:pos="9027"/>
      </w:tabs>
      <w:jc w:val="center"/>
    </w:pPr>
    <w:bookmarkStart w:id="43" w:name="spsSymbolHeader"/>
    <w:r w:rsidRPr="002F6A28">
      <w:t>G/TBT/N/EU/864</w:t>
    </w:r>
    <w:bookmarkEnd w:id="43"/>
  </w:p>
  <w:p w14:paraId="35523B8E" w14:textId="77777777" w:rsidR="009239F7" w:rsidRPr="002F6A28" w:rsidRDefault="009239F7" w:rsidP="009239F7">
    <w:pPr>
      <w:pStyle w:val="Header"/>
      <w:pBdr>
        <w:bottom w:val="single" w:sz="4" w:space="1" w:color="auto"/>
      </w:pBdr>
      <w:tabs>
        <w:tab w:val="clear" w:pos="4513"/>
        <w:tab w:val="clear" w:pos="9027"/>
      </w:tabs>
      <w:jc w:val="center"/>
    </w:pPr>
  </w:p>
  <w:p w14:paraId="2EC37E98" w14:textId="77777777" w:rsidR="009239F7" w:rsidRPr="002F6A28" w:rsidRDefault="000545E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DC560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42C5" w14:paraId="167378D4" w14:textId="77777777" w:rsidTr="008612A9">
      <w:trPr>
        <w:trHeight w:val="240"/>
        <w:jc w:val="center"/>
      </w:trPr>
      <w:tc>
        <w:tcPr>
          <w:tcW w:w="3794" w:type="dxa"/>
          <w:shd w:val="clear" w:color="auto" w:fill="FFFFFF"/>
          <w:tcMar>
            <w:left w:w="108" w:type="dxa"/>
            <w:right w:w="108" w:type="dxa"/>
          </w:tcMar>
          <w:vAlign w:val="center"/>
        </w:tcPr>
        <w:p w14:paraId="6C79E5A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B6BED18" w14:textId="77777777" w:rsidR="00ED54E0" w:rsidRPr="009239F7" w:rsidRDefault="00ED54E0" w:rsidP="00B801E9">
          <w:pPr>
            <w:jc w:val="right"/>
            <w:rPr>
              <w:b/>
              <w:color w:val="FF0000"/>
              <w:szCs w:val="16"/>
            </w:rPr>
          </w:pPr>
        </w:p>
      </w:tc>
    </w:tr>
    <w:bookmarkEnd w:id="44"/>
    <w:tr w:rsidR="005D42C5" w14:paraId="0DCD5AB4" w14:textId="77777777" w:rsidTr="008612A9">
      <w:trPr>
        <w:trHeight w:val="213"/>
        <w:jc w:val="center"/>
      </w:trPr>
      <w:tc>
        <w:tcPr>
          <w:tcW w:w="3794" w:type="dxa"/>
          <w:vMerge w:val="restart"/>
          <w:shd w:val="clear" w:color="auto" w:fill="FFFFFF"/>
          <w:tcMar>
            <w:left w:w="0" w:type="dxa"/>
            <w:right w:w="0" w:type="dxa"/>
          </w:tcMar>
        </w:tcPr>
        <w:p w14:paraId="66EF1EF3" w14:textId="77777777" w:rsidR="00ED54E0" w:rsidRPr="009239F7" w:rsidRDefault="000545E7" w:rsidP="00B801E9">
          <w:pPr>
            <w:jc w:val="left"/>
          </w:pPr>
          <w:r>
            <w:rPr>
              <w:noProof/>
              <w:lang w:eastAsia="en-GB"/>
            </w:rPr>
            <w:drawing>
              <wp:inline distT="0" distB="0" distL="0" distR="0" wp14:anchorId="1A69EFC1" wp14:editId="6D1F6F7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707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834A7B" w14:textId="77777777" w:rsidR="00ED54E0" w:rsidRPr="009239F7" w:rsidRDefault="00ED54E0" w:rsidP="00B801E9">
          <w:pPr>
            <w:jc w:val="right"/>
            <w:rPr>
              <w:b/>
              <w:szCs w:val="16"/>
            </w:rPr>
          </w:pPr>
        </w:p>
      </w:tc>
    </w:tr>
    <w:tr w:rsidR="005D42C5" w14:paraId="5E140660" w14:textId="77777777" w:rsidTr="008612A9">
      <w:trPr>
        <w:trHeight w:val="868"/>
        <w:jc w:val="center"/>
      </w:trPr>
      <w:tc>
        <w:tcPr>
          <w:tcW w:w="3794" w:type="dxa"/>
          <w:vMerge/>
          <w:shd w:val="clear" w:color="auto" w:fill="FFFFFF"/>
          <w:tcMar>
            <w:left w:w="108" w:type="dxa"/>
            <w:right w:w="108" w:type="dxa"/>
          </w:tcMar>
        </w:tcPr>
        <w:p w14:paraId="1A1D755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72B9585" w14:textId="77777777" w:rsidR="009239F7" w:rsidRPr="002F6A28" w:rsidRDefault="000545E7" w:rsidP="00B801E9">
          <w:pPr>
            <w:jc w:val="right"/>
            <w:rPr>
              <w:b/>
              <w:szCs w:val="16"/>
            </w:rPr>
          </w:pPr>
          <w:bookmarkStart w:id="45" w:name="bmkSymbols"/>
          <w:r w:rsidRPr="002F6A28">
            <w:rPr>
              <w:b/>
              <w:szCs w:val="16"/>
            </w:rPr>
            <w:t>G/TBT/N/EU/864</w:t>
          </w:r>
          <w:bookmarkEnd w:id="45"/>
        </w:p>
      </w:tc>
    </w:tr>
    <w:tr w:rsidR="005D42C5" w14:paraId="3B38A25A" w14:textId="77777777" w:rsidTr="008612A9">
      <w:trPr>
        <w:trHeight w:val="240"/>
        <w:jc w:val="center"/>
      </w:trPr>
      <w:tc>
        <w:tcPr>
          <w:tcW w:w="3794" w:type="dxa"/>
          <w:vMerge/>
          <w:shd w:val="clear" w:color="auto" w:fill="FFFFFF"/>
          <w:tcMar>
            <w:left w:w="108" w:type="dxa"/>
            <w:right w:w="108" w:type="dxa"/>
          </w:tcMar>
          <w:vAlign w:val="center"/>
        </w:tcPr>
        <w:p w14:paraId="414582D7" w14:textId="77777777" w:rsidR="00ED54E0" w:rsidRPr="009239F7" w:rsidRDefault="00ED54E0" w:rsidP="00B801E9"/>
      </w:tc>
      <w:tc>
        <w:tcPr>
          <w:tcW w:w="5448" w:type="dxa"/>
          <w:gridSpan w:val="2"/>
          <w:shd w:val="clear" w:color="auto" w:fill="FFFFFF"/>
          <w:tcMar>
            <w:left w:w="108" w:type="dxa"/>
            <w:right w:w="108" w:type="dxa"/>
          </w:tcMar>
          <w:vAlign w:val="center"/>
        </w:tcPr>
        <w:p w14:paraId="22B95683" w14:textId="18ACBA17" w:rsidR="00ED54E0" w:rsidRPr="009239F7" w:rsidRDefault="000545E7" w:rsidP="00B801E9">
          <w:pPr>
            <w:jc w:val="right"/>
            <w:rPr>
              <w:szCs w:val="16"/>
            </w:rPr>
          </w:pPr>
          <w:bookmarkStart w:id="46" w:name="spsDateDistribution"/>
          <w:bookmarkStart w:id="47" w:name="bmkDate"/>
          <w:bookmarkEnd w:id="46"/>
          <w:bookmarkEnd w:id="47"/>
          <w:r>
            <w:rPr>
              <w:szCs w:val="16"/>
            </w:rPr>
            <w:t>17 January 2022</w:t>
          </w:r>
        </w:p>
      </w:tc>
    </w:tr>
    <w:tr w:rsidR="005D42C5" w14:paraId="55004C4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B92A78" w14:textId="2F9D7B14" w:rsidR="00ED54E0" w:rsidRPr="009239F7" w:rsidRDefault="000545E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506EA">
            <w:rPr>
              <w:color w:val="FF0000"/>
              <w:szCs w:val="16"/>
            </w:rPr>
            <w:t>0349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89EF3EC" w14:textId="77777777" w:rsidR="00ED54E0" w:rsidRPr="009239F7" w:rsidRDefault="000545E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D42C5" w14:paraId="7435546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7BD5DB" w14:textId="77777777" w:rsidR="00ED54E0" w:rsidRPr="009239F7" w:rsidRDefault="000545E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4C7E8A8" w14:textId="77777777" w:rsidR="00ED54E0" w:rsidRPr="002F6A28" w:rsidRDefault="000545E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3CF4491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0613AA">
      <w:start w:val="1"/>
      <w:numFmt w:val="decimal"/>
      <w:pStyle w:val="SummaryText"/>
      <w:lvlText w:val="%1."/>
      <w:lvlJc w:val="left"/>
      <w:pPr>
        <w:ind w:left="360" w:hanging="360"/>
      </w:pPr>
    </w:lvl>
    <w:lvl w:ilvl="1" w:tplc="D3E23C16" w:tentative="1">
      <w:start w:val="1"/>
      <w:numFmt w:val="lowerLetter"/>
      <w:lvlText w:val="%2."/>
      <w:lvlJc w:val="left"/>
      <w:pPr>
        <w:ind w:left="1080" w:hanging="360"/>
      </w:pPr>
    </w:lvl>
    <w:lvl w:ilvl="2" w:tplc="84E00904" w:tentative="1">
      <w:start w:val="1"/>
      <w:numFmt w:val="lowerRoman"/>
      <w:lvlText w:val="%3."/>
      <w:lvlJc w:val="right"/>
      <w:pPr>
        <w:ind w:left="1800" w:hanging="180"/>
      </w:pPr>
    </w:lvl>
    <w:lvl w:ilvl="3" w:tplc="4970D3EC" w:tentative="1">
      <w:start w:val="1"/>
      <w:numFmt w:val="decimal"/>
      <w:lvlText w:val="%4."/>
      <w:lvlJc w:val="left"/>
      <w:pPr>
        <w:ind w:left="2520" w:hanging="360"/>
      </w:pPr>
    </w:lvl>
    <w:lvl w:ilvl="4" w:tplc="C4C2BDE0" w:tentative="1">
      <w:start w:val="1"/>
      <w:numFmt w:val="lowerLetter"/>
      <w:lvlText w:val="%5."/>
      <w:lvlJc w:val="left"/>
      <w:pPr>
        <w:ind w:left="3240" w:hanging="360"/>
      </w:pPr>
    </w:lvl>
    <w:lvl w:ilvl="5" w:tplc="DD9C25E4" w:tentative="1">
      <w:start w:val="1"/>
      <w:numFmt w:val="lowerRoman"/>
      <w:lvlText w:val="%6."/>
      <w:lvlJc w:val="right"/>
      <w:pPr>
        <w:ind w:left="3960" w:hanging="180"/>
      </w:pPr>
    </w:lvl>
    <w:lvl w:ilvl="6" w:tplc="ED4E776C" w:tentative="1">
      <w:start w:val="1"/>
      <w:numFmt w:val="decimal"/>
      <w:lvlText w:val="%7."/>
      <w:lvlJc w:val="left"/>
      <w:pPr>
        <w:ind w:left="4680" w:hanging="360"/>
      </w:pPr>
    </w:lvl>
    <w:lvl w:ilvl="7" w:tplc="C8B2D70C" w:tentative="1">
      <w:start w:val="1"/>
      <w:numFmt w:val="lowerLetter"/>
      <w:lvlText w:val="%8."/>
      <w:lvlJc w:val="left"/>
      <w:pPr>
        <w:ind w:left="5400" w:hanging="360"/>
      </w:pPr>
    </w:lvl>
    <w:lvl w:ilvl="8" w:tplc="893EA1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545E7"/>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4395A"/>
    <w:rsid w:val="00467032"/>
    <w:rsid w:val="0046754A"/>
    <w:rsid w:val="0048173D"/>
    <w:rsid w:val="00496D42"/>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42C5"/>
    <w:rsid w:val="005D5981"/>
    <w:rsid w:val="005E6EFD"/>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06EA"/>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4937"/>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A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mailto:grow-eu-tbt@ec.europa.e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grow-eu-tbt@ec.europa.eu" TargetMode="External"/><Relationship Id="rId12" Type="http://schemas.openxmlformats.org/officeDocument/2006/relationships/hyperlink" Target="https://eur-lex.europa.eu/legal-content/EN/TXT/?uri=celex%3A32013R080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EU/22_0395_01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A32008R127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mbers.wto.org/crnattachments/2022/TBT/EU/22_0395_00_e.pdf" TargetMode="External"/><Relationship Id="rId23" Type="http://schemas.openxmlformats.org/officeDocument/2006/relationships/fontTable" Target="fontTable.xml"/><Relationship Id="rId10" Type="http://schemas.openxmlformats.org/officeDocument/2006/relationships/hyperlink" Target="https://eur-lex.europa.eu/legal-content/en/ALL/?uri=celex%3A32009L012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ur-lex.europa.eu/LexUriServ/LexUriServ.do?uri=CELEX:32005L0032:EN:NOT" TargetMode="External"/><Relationship Id="rId14" Type="http://schemas.openxmlformats.org/officeDocument/2006/relationships/hyperlink" Target="http://ec.europa.eu/growth/tools-databases/tbt/e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4169</Characters>
  <Application>Microsoft Office Word</Application>
  <DocSecurity>0</DocSecurity>
  <Lines>86</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2022-01-17T09:34:00Z</dcterms:created>
  <dcterms:modified xsi:type="dcterms:W3CDTF">2022-01-17T09:50:00Z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