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97949" w14:textId="77777777" w:rsidR="009239F7" w:rsidRPr="002F6A28" w:rsidRDefault="0059476D" w:rsidP="002F6A28">
      <w:pPr>
        <w:pStyle w:val="Title"/>
        <w:rPr>
          <w:caps w:val="0"/>
          <w:kern w:val="0"/>
        </w:rPr>
      </w:pPr>
      <w:r w:rsidRPr="002F6A28">
        <w:rPr>
          <w:caps w:val="0"/>
          <w:kern w:val="0"/>
        </w:rPr>
        <w:t>NOTIFICATION</w:t>
      </w:r>
    </w:p>
    <w:p w14:paraId="301EE01B" w14:textId="77777777" w:rsidR="009239F7" w:rsidRPr="002F6A28" w:rsidRDefault="0059476D" w:rsidP="002F6A28">
      <w:pPr>
        <w:jc w:val="center"/>
      </w:pPr>
      <w:r w:rsidRPr="002F6A28">
        <w:t>The following notification is being circulated in accordance with Article 10.6</w:t>
      </w:r>
    </w:p>
    <w:p w14:paraId="2B88311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05A5B" w14:paraId="7E34721D" w14:textId="77777777" w:rsidTr="0069259F">
        <w:tc>
          <w:tcPr>
            <w:tcW w:w="713" w:type="dxa"/>
            <w:tcBorders>
              <w:bottom w:val="single" w:sz="6" w:space="0" w:color="auto"/>
            </w:tcBorders>
            <w:shd w:val="clear" w:color="auto" w:fill="auto"/>
          </w:tcPr>
          <w:p w14:paraId="22D1266A" w14:textId="77777777" w:rsidR="00F85C99" w:rsidRPr="002F6A28" w:rsidRDefault="0059476D" w:rsidP="002F6A28">
            <w:pPr>
              <w:spacing w:before="120" w:after="120"/>
              <w:jc w:val="left"/>
            </w:pPr>
            <w:r w:rsidRPr="002F6A28">
              <w:rPr>
                <w:b/>
              </w:rPr>
              <w:t>1.</w:t>
            </w:r>
          </w:p>
        </w:tc>
        <w:tc>
          <w:tcPr>
            <w:tcW w:w="8546" w:type="dxa"/>
            <w:tcBorders>
              <w:bottom w:val="single" w:sz="6" w:space="0" w:color="auto"/>
            </w:tcBorders>
            <w:shd w:val="clear" w:color="auto" w:fill="auto"/>
          </w:tcPr>
          <w:p w14:paraId="4CBB742B" w14:textId="77777777" w:rsidR="00F85C99" w:rsidRPr="002F6A28" w:rsidRDefault="0059476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4E647049" w14:textId="77777777" w:rsidR="00F85C99" w:rsidRPr="002F6A28" w:rsidRDefault="0059476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05A5B" w14:paraId="28640C78" w14:textId="77777777" w:rsidTr="0069259F">
        <w:tc>
          <w:tcPr>
            <w:tcW w:w="713" w:type="dxa"/>
            <w:tcBorders>
              <w:top w:val="single" w:sz="6" w:space="0" w:color="auto"/>
              <w:bottom w:val="single" w:sz="6" w:space="0" w:color="auto"/>
            </w:tcBorders>
            <w:shd w:val="clear" w:color="auto" w:fill="auto"/>
          </w:tcPr>
          <w:p w14:paraId="3D0ABB52" w14:textId="77777777" w:rsidR="00F85C99" w:rsidRPr="002F6A28" w:rsidRDefault="0059476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FC10B22" w14:textId="77777777" w:rsidR="00F85C99" w:rsidRPr="002F6A28" w:rsidRDefault="0059476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0BD50919" w14:textId="77777777" w:rsidR="00F85C99" w:rsidRPr="002F6A28" w:rsidRDefault="0059476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6CAAD39" w14:textId="77777777" w:rsidR="00D45FDD" w:rsidRPr="00A2567A" w:rsidRDefault="0059476D" w:rsidP="00AA646C">
            <w:pPr>
              <w:spacing w:after="120"/>
              <w:jc w:val="left"/>
              <w:rPr>
                <w:lang w:val="fr-CH"/>
              </w:rPr>
            </w:pPr>
            <w:r w:rsidRPr="00A2567A">
              <w:rPr>
                <w:lang w:val="fr-CH"/>
              </w:rPr>
              <w:t>European Commission,</w:t>
            </w:r>
            <w:r w:rsidRPr="00A2567A">
              <w:rPr>
                <w:lang w:val="fr-CH"/>
              </w:rPr>
              <w:br/>
              <w:t>EU-TBT Enquiry Point,</w:t>
            </w:r>
            <w:r w:rsidRPr="00A2567A">
              <w:rPr>
                <w:lang w:val="fr-CH"/>
              </w:rPr>
              <w:br/>
              <w:t>Fax: +(32) 2 299 80 43,</w:t>
            </w:r>
            <w:r w:rsidRPr="00A2567A">
              <w:rPr>
                <w:lang w:val="fr-CH"/>
              </w:rPr>
              <w:br/>
              <w:t xml:space="preserve">E-mail: </w:t>
            </w:r>
            <w:hyperlink r:id="rId7" w:history="1">
              <w:r w:rsidRPr="00A2567A">
                <w:rPr>
                  <w:color w:val="0000FF"/>
                  <w:u w:val="single"/>
                  <w:lang w:val="fr-CH"/>
                </w:rPr>
                <w:t>grow-eu-tbt@ec.europa.eu</w:t>
              </w:r>
            </w:hyperlink>
            <w:r w:rsidRPr="00A2567A">
              <w:rPr>
                <w:lang w:val="fr-CH"/>
              </w:rPr>
              <w:br/>
              <w:t xml:space="preserve">Website: </w:t>
            </w:r>
            <w:hyperlink r:id="rId8" w:history="1">
              <w:r w:rsidRPr="00A2567A">
                <w:rPr>
                  <w:color w:val="0000FF"/>
                  <w:u w:val="single"/>
                  <w:lang w:val="fr-CH"/>
                </w:rPr>
                <w:t>http://ec.europa.eu/growth/tools-databases/tbt/en/</w:t>
              </w:r>
            </w:hyperlink>
            <w:r w:rsidRPr="00A2567A">
              <w:rPr>
                <w:lang w:val="fr-CH"/>
              </w:rPr>
              <w:t xml:space="preserve"> </w:t>
            </w:r>
            <w:bookmarkEnd w:id="7"/>
          </w:p>
        </w:tc>
      </w:tr>
      <w:tr w:rsidR="00205A5B" w14:paraId="4A5A9A86" w14:textId="77777777" w:rsidTr="0069259F">
        <w:tc>
          <w:tcPr>
            <w:tcW w:w="713" w:type="dxa"/>
            <w:tcBorders>
              <w:top w:val="single" w:sz="6" w:space="0" w:color="auto"/>
              <w:bottom w:val="single" w:sz="6" w:space="0" w:color="auto"/>
            </w:tcBorders>
            <w:shd w:val="clear" w:color="auto" w:fill="auto"/>
          </w:tcPr>
          <w:p w14:paraId="213F2A3E" w14:textId="77777777" w:rsidR="00F85C99" w:rsidRPr="002F6A28" w:rsidRDefault="0059476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F444D6A" w14:textId="77777777" w:rsidR="00F85C99" w:rsidRPr="0058336F" w:rsidRDefault="0059476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05A5B" w14:paraId="2F4325C0" w14:textId="77777777" w:rsidTr="0069259F">
        <w:tc>
          <w:tcPr>
            <w:tcW w:w="713" w:type="dxa"/>
            <w:tcBorders>
              <w:top w:val="single" w:sz="6" w:space="0" w:color="auto"/>
              <w:bottom w:val="single" w:sz="6" w:space="0" w:color="auto"/>
            </w:tcBorders>
            <w:shd w:val="clear" w:color="auto" w:fill="auto"/>
          </w:tcPr>
          <w:p w14:paraId="10E6D74E" w14:textId="77777777" w:rsidR="00F85C99" w:rsidRPr="002F6A28" w:rsidRDefault="0059476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2DE8FE6" w14:textId="77777777" w:rsidR="00F85C99" w:rsidRPr="002F6A28" w:rsidRDefault="0059476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Sulfoxaflor (pesticide active substance); Pesticides and other agrochemicals (ICS 65.100)</w:t>
            </w:r>
            <w:bookmarkStart w:id="20" w:name="sps3a"/>
            <w:bookmarkEnd w:id="20"/>
          </w:p>
        </w:tc>
      </w:tr>
      <w:tr w:rsidR="00205A5B" w14:paraId="29B1CEF1" w14:textId="77777777" w:rsidTr="0069259F">
        <w:tc>
          <w:tcPr>
            <w:tcW w:w="713" w:type="dxa"/>
            <w:tcBorders>
              <w:top w:val="single" w:sz="6" w:space="0" w:color="auto"/>
              <w:bottom w:val="single" w:sz="6" w:space="0" w:color="auto"/>
            </w:tcBorders>
            <w:shd w:val="clear" w:color="auto" w:fill="auto"/>
          </w:tcPr>
          <w:p w14:paraId="3E0BFD43" w14:textId="77777777" w:rsidR="00F85C99" w:rsidRPr="002F6A28" w:rsidRDefault="0059476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CFFBAE5" w14:textId="77777777" w:rsidR="00F85C99" w:rsidRPr="002F6A28" w:rsidRDefault="0059476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Implementing Regulation amending Implementing Regulations (EU) No 2015/1295 and No 540/2011 as regards the conditions of approval of the active substance sulfoxaflor (5 page(s), in English; 2 page(s), in English)</w:t>
            </w:r>
            <w:bookmarkStart w:id="22" w:name="sps5a"/>
            <w:bookmarkStart w:id="23" w:name="sps5c"/>
            <w:bookmarkStart w:id="24" w:name="sps5b"/>
            <w:bookmarkEnd w:id="22"/>
            <w:bookmarkEnd w:id="23"/>
            <w:bookmarkEnd w:id="24"/>
          </w:p>
        </w:tc>
      </w:tr>
      <w:tr w:rsidR="00205A5B" w14:paraId="493F8BE6" w14:textId="77777777" w:rsidTr="0069259F">
        <w:tc>
          <w:tcPr>
            <w:tcW w:w="713" w:type="dxa"/>
            <w:tcBorders>
              <w:top w:val="single" w:sz="6" w:space="0" w:color="auto"/>
              <w:bottom w:val="single" w:sz="6" w:space="0" w:color="auto"/>
            </w:tcBorders>
            <w:shd w:val="clear" w:color="auto" w:fill="auto"/>
          </w:tcPr>
          <w:p w14:paraId="255CAED2" w14:textId="77777777" w:rsidR="00F85C99" w:rsidRPr="002F6A28" w:rsidRDefault="0059476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FAB7BC3" w14:textId="77777777" w:rsidR="00F85C99" w:rsidRPr="002F6A28" w:rsidRDefault="0059476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Commission Implementing Regulation provides that the approval conditions of the active substance sulfoxaflor are amended in accordance with Regulation (EC) No 1107/2009 based on the evaluation of confirmatory data as required in Regulation (EU) 2015/1295 of 27 July 2015 approving the active substance sulfoxaflor for use in the EU. Existing authorised plant protection products containing sulfoxaflor will be reviewed in accordance with the restriction set in this act. </w:t>
            </w:r>
          </w:p>
          <w:p w14:paraId="20B7E100" w14:textId="77777777" w:rsidR="00FE448B" w:rsidRPr="00C379C8" w:rsidRDefault="0059476D" w:rsidP="002F6A28">
            <w:pPr>
              <w:spacing w:after="120"/>
            </w:pPr>
            <w:r w:rsidRPr="00C379C8">
              <w:t>This decision however only concerns the placing on the market of this substance. Following restriction of the approval and the consequent expiry of all grace periods for stocks of products, separate legal action will likely be taken on Maximum Residue Levels and a separate notification will be made in accordance with SPS procedures in due time.</w:t>
            </w:r>
          </w:p>
        </w:tc>
      </w:tr>
      <w:tr w:rsidR="00205A5B" w14:paraId="77F26831" w14:textId="77777777" w:rsidTr="0069259F">
        <w:tc>
          <w:tcPr>
            <w:tcW w:w="713" w:type="dxa"/>
            <w:tcBorders>
              <w:top w:val="single" w:sz="6" w:space="0" w:color="auto"/>
              <w:bottom w:val="single" w:sz="6" w:space="0" w:color="auto"/>
            </w:tcBorders>
            <w:shd w:val="clear" w:color="auto" w:fill="auto"/>
          </w:tcPr>
          <w:p w14:paraId="25E6DAA9" w14:textId="77777777" w:rsidR="00F85C99" w:rsidRPr="002F6A28" w:rsidRDefault="0059476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45F52A6" w14:textId="77777777" w:rsidR="00F85C99" w:rsidRPr="002F6A28" w:rsidRDefault="0059476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In order for an active substance to be approved in accordance with Regulation (EC) No 1107/2009 (concerning the placing of plant protection products on the market), it must be demonstrated that the substance is not harmful to human health, animal health or the environment. Criteria are listed in Article 4 of the Regulation (and also detailed in Annex II thereto) which must be met to enable approval. Regulation (EU) No 2015/1295 approved sulfoxaflor as active substance for use in plant protection products and required the applicant to provide confirmatory information with regard to bees. Following the assessment of confirmatory information, the information provided did </w:t>
            </w:r>
            <w:r w:rsidR="00EE3A11" w:rsidRPr="00C379C8">
              <w:lastRenderedPageBreak/>
              <w:t>not demonstrate absence of risks to bees, in particular bumble bees and solitary bees, from outdoor use. Consequently, the notified draft Implementing Regulation aims at restricting the conditions of approval of the active substance sulfoxaflor to uses in permanent greenhouses only in order to protect bees. The decision is based on a risk assessment peer reviewed at EU level, under the lead of the European Food Safety Authority. EU Member States shall, where necessary, withdraw or amend authorisations for plant protection products containing sulfoxaflor as active substance at the latest by 6 months from the date of entry into force. EU Member States may grant a period of grace in line with Article 46 of Regulation No 1107/2009 which shall expire at the latest 12 months from the entry into force of the notified draft Implementing Regulation.; Protection of animal or plant life or health; Protection of the environment</w:t>
            </w:r>
            <w:bookmarkStart w:id="27" w:name="sps7f"/>
            <w:bookmarkEnd w:id="27"/>
          </w:p>
        </w:tc>
      </w:tr>
      <w:tr w:rsidR="00205A5B" w14:paraId="5638BF5A" w14:textId="77777777" w:rsidTr="0069259F">
        <w:tc>
          <w:tcPr>
            <w:tcW w:w="713" w:type="dxa"/>
            <w:tcBorders>
              <w:top w:val="single" w:sz="6" w:space="0" w:color="auto"/>
              <w:bottom w:val="single" w:sz="6" w:space="0" w:color="auto"/>
            </w:tcBorders>
            <w:shd w:val="clear" w:color="auto" w:fill="auto"/>
          </w:tcPr>
          <w:p w14:paraId="2994215A" w14:textId="77777777" w:rsidR="00F85C99" w:rsidRPr="002F6A28" w:rsidRDefault="0059476D"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2D055C9" w14:textId="77777777" w:rsidR="00072B36" w:rsidRPr="002F6A28" w:rsidRDefault="0059476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D77BC8F" w14:textId="77777777" w:rsidR="00D45FDD" w:rsidRPr="002F6A28" w:rsidRDefault="0059476D" w:rsidP="009E75ED">
            <w:pPr>
              <w:numPr>
                <w:ilvl w:val="0"/>
                <w:numId w:val="16"/>
              </w:numPr>
              <w:spacing w:before="120" w:after="120"/>
              <w:jc w:val="left"/>
              <w:rPr>
                <w:bCs/>
              </w:rPr>
            </w:pPr>
            <w:r w:rsidRPr="002F6A28">
              <w:rPr>
                <w:bCs/>
              </w:rPr>
              <w:t xml:space="preserve">Regulation (EC) No 1107/2009 of the European Parliament and of the Council of 21 October 2009 concerning the placing of plant protection products on the market and repealing Council Directives 79/117/EEC and 91/414/EEC: </w:t>
            </w:r>
            <w:hyperlink r:id="rId9" w:history="1">
              <w:r w:rsidRPr="002F6A28">
                <w:rPr>
                  <w:bCs/>
                  <w:color w:val="0000FF"/>
                  <w:u w:val="single"/>
                </w:rPr>
                <w:t>http://eur-lex.europa.eu/legal-content/EN/TXT/PDF/?uri=CELEX:32009R1107&amp;qid=1437730988988&amp;from=EN</w:t>
              </w:r>
            </w:hyperlink>
          </w:p>
          <w:p w14:paraId="7589B128" w14:textId="77777777" w:rsidR="00D45FDD" w:rsidRPr="002F6A28" w:rsidRDefault="0059476D" w:rsidP="009E75ED">
            <w:pPr>
              <w:numPr>
                <w:ilvl w:val="0"/>
                <w:numId w:val="16"/>
              </w:numPr>
              <w:spacing w:before="120" w:after="120"/>
              <w:jc w:val="left"/>
              <w:rPr>
                <w:bCs/>
              </w:rPr>
            </w:pPr>
            <w:r w:rsidRPr="002F6A28">
              <w:rPr>
                <w:bCs/>
              </w:rPr>
              <w:t>Commission Implementing Regulation (EU) No 540/2011 of 25 May 2011 implementing Regulation (EC) No 1107/2009 of the European Parliament and of the Council as regards the list of approved active substances (</w:t>
            </w:r>
            <w:r w:rsidRPr="002F6A28">
              <w:rPr>
                <w:bCs/>
                <w:i/>
                <w:iCs/>
              </w:rPr>
              <w:t>OJ L 153, 11.6.2011, p. 1–186</w:t>
            </w:r>
            <w:r w:rsidRPr="002F6A28">
              <w:rPr>
                <w:bCs/>
              </w:rPr>
              <w:t xml:space="preserve">) </w:t>
            </w:r>
            <w:hyperlink r:id="rId10" w:history="1">
              <w:r w:rsidRPr="002F6A28">
                <w:rPr>
                  <w:bCs/>
                  <w:color w:val="0000FF"/>
                  <w:u w:val="single"/>
                </w:rPr>
                <w:t>http://eur-lex.europa.eu/legal-content/EN/TXT/?qid=1442928512004&amp;uri=CELEX:32011R0540</w:t>
              </w:r>
            </w:hyperlink>
          </w:p>
          <w:p w14:paraId="3E5E4B6F" w14:textId="77777777" w:rsidR="00D45FDD" w:rsidRPr="002F6A28" w:rsidRDefault="0059476D" w:rsidP="009E75ED">
            <w:pPr>
              <w:numPr>
                <w:ilvl w:val="0"/>
                <w:numId w:val="16"/>
              </w:numPr>
              <w:spacing w:before="120" w:after="120"/>
              <w:jc w:val="left"/>
              <w:rPr>
                <w:bCs/>
              </w:rPr>
            </w:pPr>
            <w:r w:rsidRPr="002F6A28">
              <w:rPr>
                <w:bCs/>
              </w:rPr>
              <w:t xml:space="preserve">EFSA (European Food Safety Authority), 2018. Technical report on the outcome of the consultation with Member States, the applicant and EFSA on the pesticide risk assessment of confirmatory data for sulfoxaflor in light of confirmatory data. EFSA supporting publication 2018:EN-1474. 73 pp. </w:t>
            </w:r>
            <w:hyperlink r:id="rId11" w:history="1">
              <w:r w:rsidRPr="002F6A28">
                <w:rPr>
                  <w:bCs/>
                  <w:color w:val="0000FF"/>
                  <w:u w:val="single"/>
                </w:rPr>
                <w:t>https://efsa.onlinelibrary.wiley.com/doi/epdf/10.2903/sp.efsa.2018.EN-1474</w:t>
              </w:r>
            </w:hyperlink>
          </w:p>
          <w:p w14:paraId="4280BD90" w14:textId="77777777" w:rsidR="00D45FDD" w:rsidRPr="002F6A28" w:rsidRDefault="0059476D" w:rsidP="009E75ED">
            <w:pPr>
              <w:numPr>
                <w:ilvl w:val="0"/>
                <w:numId w:val="16"/>
              </w:numPr>
              <w:spacing w:before="120" w:after="120"/>
              <w:jc w:val="left"/>
              <w:rPr>
                <w:bCs/>
              </w:rPr>
            </w:pPr>
            <w:r w:rsidRPr="002F6A28">
              <w:rPr>
                <w:bCs/>
              </w:rPr>
              <w:t xml:space="preserve">EFSA (European Food Safety Authority), 2019. Conclusion on the peer review of the pesticide risk assessment for the active substance sulfoxaflor in light of confirmatory data submitted. EFSA Journal 2019;17(3):5633, 14 pp. </w:t>
            </w:r>
            <w:hyperlink r:id="rId12" w:history="1">
              <w:r w:rsidRPr="002F6A28">
                <w:rPr>
                  <w:bCs/>
                  <w:color w:val="0000FF"/>
                  <w:u w:val="single"/>
                </w:rPr>
                <w:t>https://efsa.onlinelibrary.wiley.com/doi/epdf/10.2903/j.efsa.2019.5633</w:t>
              </w:r>
            </w:hyperlink>
          </w:p>
          <w:p w14:paraId="5FF507CA" w14:textId="77777777" w:rsidR="00D45FDD" w:rsidRPr="00A2567A" w:rsidRDefault="0059476D" w:rsidP="009E75ED">
            <w:pPr>
              <w:numPr>
                <w:ilvl w:val="0"/>
                <w:numId w:val="16"/>
              </w:numPr>
              <w:spacing w:before="120" w:after="120"/>
              <w:jc w:val="left"/>
              <w:rPr>
                <w:bCs/>
                <w:lang w:val="fr-CH"/>
              </w:rPr>
            </w:pPr>
            <w:r w:rsidRPr="002F6A28">
              <w:rPr>
                <w:bCs/>
              </w:rPr>
              <w:t xml:space="preserve">EFSA (European Food Safety Authority), 2020. Conclusion on the peer review of the pesticide risk assessment for the active substance sulfoxaflor in light of confirmatory data submitted. </w:t>
            </w:r>
            <w:r w:rsidRPr="00A2567A">
              <w:rPr>
                <w:bCs/>
                <w:lang w:val="fr-CH"/>
              </w:rPr>
              <w:t xml:space="preserve">EFSA Journal 2020;18(3):6056, 15 pp.  </w:t>
            </w:r>
            <w:hyperlink r:id="rId13" w:history="1">
              <w:r w:rsidRPr="00A2567A">
                <w:rPr>
                  <w:bCs/>
                  <w:color w:val="0000FF"/>
                  <w:u w:val="single"/>
                  <w:lang w:val="fr-CH"/>
                </w:rPr>
                <w:t>https://efsa.onlinelibrary.wiley.com/doi/epdf/10.2903/j.efsa.2020.6056</w:t>
              </w:r>
            </w:hyperlink>
          </w:p>
        </w:tc>
      </w:tr>
      <w:tr w:rsidR="00205A5B" w14:paraId="59E17470" w14:textId="77777777" w:rsidTr="00AE6CC8">
        <w:trPr>
          <w:cantSplit/>
        </w:trPr>
        <w:tc>
          <w:tcPr>
            <w:tcW w:w="713" w:type="dxa"/>
            <w:tcBorders>
              <w:top w:val="single" w:sz="6" w:space="0" w:color="auto"/>
              <w:bottom w:val="single" w:sz="6" w:space="0" w:color="auto"/>
            </w:tcBorders>
            <w:shd w:val="clear" w:color="auto" w:fill="auto"/>
          </w:tcPr>
          <w:p w14:paraId="5A11B9E8" w14:textId="77777777" w:rsidR="00EE3A11" w:rsidRPr="002F6A28" w:rsidRDefault="0059476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515EDCB" w14:textId="77777777" w:rsidR="00EE3A11" w:rsidRPr="002F6A28" w:rsidRDefault="0059476D"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1st Quarter 2022.</w:t>
            </w:r>
            <w:bookmarkEnd w:id="31"/>
          </w:p>
          <w:p w14:paraId="65506FE4" w14:textId="77777777" w:rsidR="00EE3A11" w:rsidRPr="002F6A28" w:rsidRDefault="0059476D"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20 days following publication in the Official Journal of the EU </w:t>
            </w:r>
            <w:bookmarkEnd w:id="34"/>
          </w:p>
        </w:tc>
      </w:tr>
      <w:tr w:rsidR="00205A5B" w14:paraId="5C7AD7CD" w14:textId="77777777" w:rsidTr="0069259F">
        <w:tc>
          <w:tcPr>
            <w:tcW w:w="713" w:type="dxa"/>
            <w:tcBorders>
              <w:top w:val="single" w:sz="6" w:space="0" w:color="auto"/>
              <w:bottom w:val="single" w:sz="6" w:space="0" w:color="auto"/>
            </w:tcBorders>
            <w:shd w:val="clear" w:color="auto" w:fill="auto"/>
          </w:tcPr>
          <w:p w14:paraId="393CDB22" w14:textId="77777777" w:rsidR="00F85C99" w:rsidRPr="002F6A28" w:rsidRDefault="0059476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EAF7726" w14:textId="77777777" w:rsidR="00F85C99" w:rsidRPr="002F6A28" w:rsidRDefault="0059476D"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205A5B" w14:paraId="2E13B544" w14:textId="77777777" w:rsidTr="0069259F">
        <w:tc>
          <w:tcPr>
            <w:tcW w:w="713" w:type="dxa"/>
            <w:tcBorders>
              <w:top w:val="single" w:sz="6" w:space="0" w:color="auto"/>
            </w:tcBorders>
            <w:shd w:val="clear" w:color="auto" w:fill="auto"/>
          </w:tcPr>
          <w:p w14:paraId="6FB5BBFF" w14:textId="77777777" w:rsidR="00F85C99" w:rsidRPr="002F6A28" w:rsidRDefault="0059476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9FA0E63" w14:textId="77777777" w:rsidR="00F85C99" w:rsidRPr="002F6A28" w:rsidRDefault="0059476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906C367" w14:textId="77777777" w:rsidR="00D45FDD" w:rsidRPr="002F6A28" w:rsidRDefault="0059476D"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4" w:history="1">
              <w:r w:rsidRPr="002F6A28">
                <w:rPr>
                  <w:color w:val="0000FF"/>
                  <w:u w:val="single"/>
                </w:rPr>
                <w:t>grow-eu-tbt@ec.europa.eu</w:t>
              </w:r>
            </w:hyperlink>
            <w:r w:rsidRPr="002F6A28">
              <w:br/>
            </w:r>
            <w:r w:rsidRPr="002F6A28">
              <w:br/>
              <w:t xml:space="preserve">The text is available on the EU-TBT Website : </w:t>
            </w:r>
            <w:hyperlink r:id="rId15" w:history="1">
              <w:r w:rsidRPr="002F6A28">
                <w:rPr>
                  <w:color w:val="0000FF"/>
                  <w:u w:val="single"/>
                </w:rPr>
                <w:t>http://ec.europa.eu/growth/tools-databases/tbt/en/</w:t>
              </w:r>
            </w:hyperlink>
          </w:p>
          <w:p w14:paraId="138345A6" w14:textId="77777777" w:rsidR="00D45FDD" w:rsidRPr="002F6A28" w:rsidRDefault="0061568A" w:rsidP="00B16145">
            <w:pPr>
              <w:keepNext/>
              <w:keepLines/>
              <w:spacing w:before="120" w:after="120"/>
              <w:jc w:val="left"/>
            </w:pPr>
            <w:hyperlink r:id="rId16" w:history="1">
              <w:r w:rsidR="0059476D" w:rsidRPr="002F6A28">
                <w:rPr>
                  <w:color w:val="0000FF"/>
                  <w:u w:val="single"/>
                </w:rPr>
                <w:t>https://members.wto.org/crnattachments/2021/TBT/EEC/21_7189_00_e.pdf</w:t>
              </w:r>
            </w:hyperlink>
            <w:r w:rsidR="0059476D" w:rsidRPr="002F6A28">
              <w:br/>
            </w:r>
            <w:hyperlink r:id="rId17" w:history="1">
              <w:r w:rsidR="0059476D" w:rsidRPr="002F6A28">
                <w:rPr>
                  <w:color w:val="0000FF"/>
                  <w:u w:val="single"/>
                </w:rPr>
                <w:t>https://members.wto.org/crnattachments/2021/TBT/EEC/21_7189_01_e.pdf</w:t>
              </w:r>
            </w:hyperlink>
            <w:bookmarkEnd w:id="40"/>
          </w:p>
        </w:tc>
      </w:tr>
    </w:tbl>
    <w:p w14:paraId="451DC1E0"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DC1C1" w14:textId="77777777" w:rsidR="004803E2" w:rsidRDefault="0059476D">
      <w:r>
        <w:separator/>
      </w:r>
    </w:p>
  </w:endnote>
  <w:endnote w:type="continuationSeparator" w:id="0">
    <w:p w14:paraId="6CCE8199" w14:textId="77777777" w:rsidR="004803E2" w:rsidRDefault="0059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DE50" w14:textId="77777777" w:rsidR="009239F7" w:rsidRPr="002F6A28" w:rsidRDefault="0059476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F81DB" w14:textId="77777777" w:rsidR="009239F7" w:rsidRPr="002F6A28" w:rsidRDefault="0059476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2CB53" w14:textId="77777777" w:rsidR="00EE3A11" w:rsidRPr="002F6A28" w:rsidRDefault="0059476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395DA" w14:textId="77777777" w:rsidR="004803E2" w:rsidRDefault="0059476D">
      <w:r>
        <w:separator/>
      </w:r>
    </w:p>
  </w:footnote>
  <w:footnote w:type="continuationSeparator" w:id="0">
    <w:p w14:paraId="14E36329" w14:textId="77777777" w:rsidR="004803E2" w:rsidRDefault="0059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867F" w14:textId="77777777" w:rsidR="009239F7" w:rsidRPr="002F6A28" w:rsidRDefault="0059476D" w:rsidP="009239F7">
    <w:pPr>
      <w:pStyle w:val="Header"/>
      <w:pBdr>
        <w:bottom w:val="single" w:sz="4" w:space="1" w:color="auto"/>
      </w:pBdr>
      <w:tabs>
        <w:tab w:val="clear" w:pos="4513"/>
        <w:tab w:val="clear" w:pos="9027"/>
      </w:tabs>
      <w:jc w:val="center"/>
    </w:pPr>
    <w:r w:rsidRPr="002F6A28">
      <w:t>tbtSymbol</w:t>
    </w:r>
  </w:p>
  <w:p w14:paraId="7B5C954B" w14:textId="77777777" w:rsidR="009239F7" w:rsidRPr="002F6A28" w:rsidRDefault="009239F7" w:rsidP="009239F7">
    <w:pPr>
      <w:pStyle w:val="Header"/>
      <w:pBdr>
        <w:bottom w:val="single" w:sz="4" w:space="1" w:color="auto"/>
      </w:pBdr>
      <w:tabs>
        <w:tab w:val="clear" w:pos="4513"/>
        <w:tab w:val="clear" w:pos="9027"/>
      </w:tabs>
      <w:jc w:val="center"/>
    </w:pPr>
  </w:p>
  <w:p w14:paraId="29D85250" w14:textId="77777777" w:rsidR="009239F7" w:rsidRPr="002F6A28" w:rsidRDefault="0059476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ADA887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594E4" w14:textId="77777777" w:rsidR="009239F7" w:rsidRPr="002F6A28" w:rsidRDefault="0059476D" w:rsidP="009239F7">
    <w:pPr>
      <w:pStyle w:val="Header"/>
      <w:pBdr>
        <w:bottom w:val="single" w:sz="4" w:space="1" w:color="auto"/>
      </w:pBdr>
      <w:tabs>
        <w:tab w:val="clear" w:pos="4513"/>
        <w:tab w:val="clear" w:pos="9027"/>
      </w:tabs>
      <w:jc w:val="center"/>
    </w:pPr>
    <w:bookmarkStart w:id="41" w:name="spsSymbolHeader"/>
    <w:r w:rsidRPr="002F6A28">
      <w:t>G/TBT/N/EU/853</w:t>
    </w:r>
    <w:bookmarkEnd w:id="41"/>
  </w:p>
  <w:p w14:paraId="795DB602" w14:textId="77777777" w:rsidR="009239F7" w:rsidRPr="002F6A28" w:rsidRDefault="009239F7" w:rsidP="009239F7">
    <w:pPr>
      <w:pStyle w:val="Header"/>
      <w:pBdr>
        <w:bottom w:val="single" w:sz="4" w:space="1" w:color="auto"/>
      </w:pBdr>
      <w:tabs>
        <w:tab w:val="clear" w:pos="4513"/>
        <w:tab w:val="clear" w:pos="9027"/>
      </w:tabs>
      <w:jc w:val="center"/>
    </w:pPr>
  </w:p>
  <w:p w14:paraId="1B1C59FF" w14:textId="77777777" w:rsidR="009239F7" w:rsidRPr="002F6A28" w:rsidRDefault="0059476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9B55B7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5A5B" w14:paraId="06D48D73" w14:textId="77777777" w:rsidTr="008612A9">
      <w:trPr>
        <w:trHeight w:val="240"/>
        <w:jc w:val="center"/>
      </w:trPr>
      <w:tc>
        <w:tcPr>
          <w:tcW w:w="3794" w:type="dxa"/>
          <w:shd w:val="clear" w:color="auto" w:fill="FFFFFF"/>
          <w:tcMar>
            <w:left w:w="108" w:type="dxa"/>
            <w:right w:w="108" w:type="dxa"/>
          </w:tcMar>
          <w:vAlign w:val="center"/>
        </w:tcPr>
        <w:p w14:paraId="24855C5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B340C9C" w14:textId="77777777" w:rsidR="00ED54E0" w:rsidRPr="009239F7" w:rsidRDefault="00ED54E0" w:rsidP="00B801E9">
          <w:pPr>
            <w:jc w:val="right"/>
            <w:rPr>
              <w:b/>
              <w:color w:val="FF0000"/>
              <w:szCs w:val="16"/>
            </w:rPr>
          </w:pPr>
        </w:p>
      </w:tc>
    </w:tr>
    <w:bookmarkEnd w:id="42"/>
    <w:tr w:rsidR="00205A5B" w14:paraId="30D19BA0" w14:textId="77777777" w:rsidTr="008612A9">
      <w:trPr>
        <w:trHeight w:val="213"/>
        <w:jc w:val="center"/>
      </w:trPr>
      <w:tc>
        <w:tcPr>
          <w:tcW w:w="3794" w:type="dxa"/>
          <w:vMerge w:val="restart"/>
          <w:shd w:val="clear" w:color="auto" w:fill="FFFFFF"/>
          <w:tcMar>
            <w:left w:w="0" w:type="dxa"/>
            <w:right w:w="0" w:type="dxa"/>
          </w:tcMar>
        </w:tcPr>
        <w:p w14:paraId="234320EA" w14:textId="77777777" w:rsidR="00ED54E0" w:rsidRPr="009239F7" w:rsidRDefault="0059476D" w:rsidP="00B801E9">
          <w:pPr>
            <w:jc w:val="left"/>
          </w:pPr>
          <w:r>
            <w:rPr>
              <w:noProof/>
              <w:lang w:eastAsia="en-GB"/>
            </w:rPr>
            <w:drawing>
              <wp:inline distT="0" distB="0" distL="0" distR="0" wp14:anchorId="35DA6244" wp14:editId="15F88A0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882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5263F5" w14:textId="77777777" w:rsidR="00ED54E0" w:rsidRPr="009239F7" w:rsidRDefault="00ED54E0" w:rsidP="00B801E9">
          <w:pPr>
            <w:jc w:val="right"/>
            <w:rPr>
              <w:b/>
              <w:szCs w:val="16"/>
            </w:rPr>
          </w:pPr>
        </w:p>
      </w:tc>
    </w:tr>
    <w:tr w:rsidR="00205A5B" w14:paraId="7A20586C" w14:textId="77777777" w:rsidTr="008612A9">
      <w:trPr>
        <w:trHeight w:val="868"/>
        <w:jc w:val="center"/>
      </w:trPr>
      <w:tc>
        <w:tcPr>
          <w:tcW w:w="3794" w:type="dxa"/>
          <w:vMerge/>
          <w:shd w:val="clear" w:color="auto" w:fill="FFFFFF"/>
          <w:tcMar>
            <w:left w:w="108" w:type="dxa"/>
            <w:right w:w="108" w:type="dxa"/>
          </w:tcMar>
        </w:tcPr>
        <w:p w14:paraId="744C18F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667E09B" w14:textId="77777777" w:rsidR="009239F7" w:rsidRPr="002F6A28" w:rsidRDefault="0059476D" w:rsidP="00B801E9">
          <w:pPr>
            <w:jc w:val="right"/>
            <w:rPr>
              <w:b/>
              <w:szCs w:val="16"/>
            </w:rPr>
          </w:pPr>
          <w:bookmarkStart w:id="43" w:name="bmkSymbols"/>
          <w:r w:rsidRPr="002F6A28">
            <w:rPr>
              <w:b/>
              <w:szCs w:val="16"/>
            </w:rPr>
            <w:t>G/TBT/N/EU/853</w:t>
          </w:r>
          <w:bookmarkEnd w:id="43"/>
        </w:p>
      </w:tc>
    </w:tr>
    <w:tr w:rsidR="00205A5B" w14:paraId="52934551" w14:textId="77777777" w:rsidTr="008612A9">
      <w:trPr>
        <w:trHeight w:val="240"/>
        <w:jc w:val="center"/>
      </w:trPr>
      <w:tc>
        <w:tcPr>
          <w:tcW w:w="3794" w:type="dxa"/>
          <w:vMerge/>
          <w:shd w:val="clear" w:color="auto" w:fill="FFFFFF"/>
          <w:tcMar>
            <w:left w:w="108" w:type="dxa"/>
            <w:right w:w="108" w:type="dxa"/>
          </w:tcMar>
          <w:vAlign w:val="center"/>
        </w:tcPr>
        <w:p w14:paraId="45ED1754" w14:textId="77777777" w:rsidR="00ED54E0" w:rsidRPr="009239F7" w:rsidRDefault="00ED54E0" w:rsidP="00B801E9"/>
      </w:tc>
      <w:tc>
        <w:tcPr>
          <w:tcW w:w="5448" w:type="dxa"/>
          <w:gridSpan w:val="2"/>
          <w:shd w:val="clear" w:color="auto" w:fill="FFFFFF"/>
          <w:tcMar>
            <w:left w:w="108" w:type="dxa"/>
            <w:right w:w="108" w:type="dxa"/>
          </w:tcMar>
          <w:vAlign w:val="center"/>
        </w:tcPr>
        <w:p w14:paraId="33A4C12A" w14:textId="08463D44" w:rsidR="00ED54E0" w:rsidRPr="009239F7" w:rsidRDefault="0059476D" w:rsidP="00B801E9">
          <w:pPr>
            <w:jc w:val="right"/>
            <w:rPr>
              <w:szCs w:val="16"/>
            </w:rPr>
          </w:pPr>
          <w:bookmarkStart w:id="44" w:name="spsDateDistribution"/>
          <w:bookmarkStart w:id="45" w:name="bmkDate"/>
          <w:bookmarkEnd w:id="44"/>
          <w:bookmarkEnd w:id="45"/>
          <w:r>
            <w:rPr>
              <w:szCs w:val="16"/>
            </w:rPr>
            <w:t>17 November 2021</w:t>
          </w:r>
        </w:p>
      </w:tc>
    </w:tr>
    <w:tr w:rsidR="00205A5B" w14:paraId="331D86C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D72531" w14:textId="1AC76321" w:rsidR="00ED54E0" w:rsidRPr="009239F7" w:rsidRDefault="0059476D"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61568A">
            <w:rPr>
              <w:color w:val="FF0000"/>
              <w:szCs w:val="16"/>
            </w:rPr>
            <w:t>8686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6BAB0CD" w14:textId="77777777" w:rsidR="00ED54E0" w:rsidRPr="009239F7" w:rsidRDefault="0059476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05A5B" w14:paraId="5162135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C980FA" w14:textId="77777777" w:rsidR="00ED54E0" w:rsidRPr="009239F7" w:rsidRDefault="0059476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365BF20" w14:textId="77777777" w:rsidR="00ED54E0" w:rsidRPr="002F6A28" w:rsidRDefault="0059476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A8C5C2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BC0314">
      <w:start w:val="1"/>
      <w:numFmt w:val="decimal"/>
      <w:pStyle w:val="SummaryText"/>
      <w:lvlText w:val="%1."/>
      <w:lvlJc w:val="left"/>
      <w:pPr>
        <w:ind w:left="360" w:hanging="360"/>
      </w:pPr>
    </w:lvl>
    <w:lvl w:ilvl="1" w:tplc="6CFA307C" w:tentative="1">
      <w:start w:val="1"/>
      <w:numFmt w:val="lowerLetter"/>
      <w:lvlText w:val="%2."/>
      <w:lvlJc w:val="left"/>
      <w:pPr>
        <w:ind w:left="1080" w:hanging="360"/>
      </w:pPr>
    </w:lvl>
    <w:lvl w:ilvl="2" w:tplc="5D8E9E42" w:tentative="1">
      <w:start w:val="1"/>
      <w:numFmt w:val="lowerRoman"/>
      <w:lvlText w:val="%3."/>
      <w:lvlJc w:val="right"/>
      <w:pPr>
        <w:ind w:left="1800" w:hanging="180"/>
      </w:pPr>
    </w:lvl>
    <w:lvl w:ilvl="3" w:tplc="B86C969E" w:tentative="1">
      <w:start w:val="1"/>
      <w:numFmt w:val="decimal"/>
      <w:lvlText w:val="%4."/>
      <w:lvlJc w:val="left"/>
      <w:pPr>
        <w:ind w:left="2520" w:hanging="360"/>
      </w:pPr>
    </w:lvl>
    <w:lvl w:ilvl="4" w:tplc="A2CCD966" w:tentative="1">
      <w:start w:val="1"/>
      <w:numFmt w:val="lowerLetter"/>
      <w:lvlText w:val="%5."/>
      <w:lvlJc w:val="left"/>
      <w:pPr>
        <w:ind w:left="3240" w:hanging="360"/>
      </w:pPr>
    </w:lvl>
    <w:lvl w:ilvl="5" w:tplc="BDD4E1DA" w:tentative="1">
      <w:start w:val="1"/>
      <w:numFmt w:val="lowerRoman"/>
      <w:lvlText w:val="%6."/>
      <w:lvlJc w:val="right"/>
      <w:pPr>
        <w:ind w:left="3960" w:hanging="180"/>
      </w:pPr>
    </w:lvl>
    <w:lvl w:ilvl="6" w:tplc="EDD82148" w:tentative="1">
      <w:start w:val="1"/>
      <w:numFmt w:val="decimal"/>
      <w:lvlText w:val="%7."/>
      <w:lvlJc w:val="left"/>
      <w:pPr>
        <w:ind w:left="4680" w:hanging="360"/>
      </w:pPr>
    </w:lvl>
    <w:lvl w:ilvl="7" w:tplc="4DE4ACFA" w:tentative="1">
      <w:start w:val="1"/>
      <w:numFmt w:val="lowerLetter"/>
      <w:lvlText w:val="%8."/>
      <w:lvlJc w:val="left"/>
      <w:pPr>
        <w:ind w:left="5400" w:hanging="360"/>
      </w:pPr>
    </w:lvl>
    <w:lvl w:ilvl="8" w:tplc="88942C3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24808BC">
      <w:start w:val="1"/>
      <w:numFmt w:val="bullet"/>
      <w:lvlText w:val=""/>
      <w:lvlJc w:val="left"/>
      <w:pPr>
        <w:ind w:left="720" w:hanging="360"/>
      </w:pPr>
      <w:rPr>
        <w:rFonts w:ascii="Symbol" w:hAnsi="Symbol"/>
      </w:rPr>
    </w:lvl>
    <w:lvl w:ilvl="1" w:tplc="8732182A">
      <w:start w:val="1"/>
      <w:numFmt w:val="bullet"/>
      <w:lvlText w:val="o"/>
      <w:lvlJc w:val="left"/>
      <w:pPr>
        <w:tabs>
          <w:tab w:val="num" w:pos="1440"/>
        </w:tabs>
        <w:ind w:left="1440" w:hanging="360"/>
      </w:pPr>
      <w:rPr>
        <w:rFonts w:ascii="Courier New" w:hAnsi="Courier New"/>
      </w:rPr>
    </w:lvl>
    <w:lvl w:ilvl="2" w:tplc="59628106">
      <w:start w:val="1"/>
      <w:numFmt w:val="bullet"/>
      <w:lvlText w:val=""/>
      <w:lvlJc w:val="left"/>
      <w:pPr>
        <w:tabs>
          <w:tab w:val="num" w:pos="2160"/>
        </w:tabs>
        <w:ind w:left="2160" w:hanging="360"/>
      </w:pPr>
      <w:rPr>
        <w:rFonts w:ascii="Wingdings" w:hAnsi="Wingdings"/>
      </w:rPr>
    </w:lvl>
    <w:lvl w:ilvl="3" w:tplc="66AEBE56">
      <w:start w:val="1"/>
      <w:numFmt w:val="bullet"/>
      <w:lvlText w:val=""/>
      <w:lvlJc w:val="left"/>
      <w:pPr>
        <w:tabs>
          <w:tab w:val="num" w:pos="2880"/>
        </w:tabs>
        <w:ind w:left="2880" w:hanging="360"/>
      </w:pPr>
      <w:rPr>
        <w:rFonts w:ascii="Symbol" w:hAnsi="Symbol"/>
      </w:rPr>
    </w:lvl>
    <w:lvl w:ilvl="4" w:tplc="7A16FA2A">
      <w:start w:val="1"/>
      <w:numFmt w:val="bullet"/>
      <w:lvlText w:val="o"/>
      <w:lvlJc w:val="left"/>
      <w:pPr>
        <w:tabs>
          <w:tab w:val="num" w:pos="3600"/>
        </w:tabs>
        <w:ind w:left="3600" w:hanging="360"/>
      </w:pPr>
      <w:rPr>
        <w:rFonts w:ascii="Courier New" w:hAnsi="Courier New"/>
      </w:rPr>
    </w:lvl>
    <w:lvl w:ilvl="5" w:tplc="A580BE4C">
      <w:start w:val="1"/>
      <w:numFmt w:val="bullet"/>
      <w:lvlText w:val=""/>
      <w:lvlJc w:val="left"/>
      <w:pPr>
        <w:tabs>
          <w:tab w:val="num" w:pos="4320"/>
        </w:tabs>
        <w:ind w:left="4320" w:hanging="360"/>
      </w:pPr>
      <w:rPr>
        <w:rFonts w:ascii="Wingdings" w:hAnsi="Wingdings"/>
      </w:rPr>
    </w:lvl>
    <w:lvl w:ilvl="6" w:tplc="1DC45512">
      <w:start w:val="1"/>
      <w:numFmt w:val="bullet"/>
      <w:lvlText w:val=""/>
      <w:lvlJc w:val="left"/>
      <w:pPr>
        <w:tabs>
          <w:tab w:val="num" w:pos="5040"/>
        </w:tabs>
        <w:ind w:left="5040" w:hanging="360"/>
      </w:pPr>
      <w:rPr>
        <w:rFonts w:ascii="Symbol" w:hAnsi="Symbol"/>
      </w:rPr>
    </w:lvl>
    <w:lvl w:ilvl="7" w:tplc="1BD62CD6">
      <w:start w:val="1"/>
      <w:numFmt w:val="bullet"/>
      <w:lvlText w:val="o"/>
      <w:lvlJc w:val="left"/>
      <w:pPr>
        <w:tabs>
          <w:tab w:val="num" w:pos="5760"/>
        </w:tabs>
        <w:ind w:left="5760" w:hanging="360"/>
      </w:pPr>
      <w:rPr>
        <w:rFonts w:ascii="Courier New" w:hAnsi="Courier New"/>
      </w:rPr>
    </w:lvl>
    <w:lvl w:ilvl="8" w:tplc="5A945CC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05A5B"/>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03E2"/>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476D"/>
    <w:rsid w:val="005B04B9"/>
    <w:rsid w:val="005B68C7"/>
    <w:rsid w:val="005B7054"/>
    <w:rsid w:val="005C5BA4"/>
    <w:rsid w:val="005D5981"/>
    <w:rsid w:val="005F30CB"/>
    <w:rsid w:val="005F6444"/>
    <w:rsid w:val="00612644"/>
    <w:rsid w:val="0061568A"/>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2567A"/>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45FDD"/>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E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efsa.onlinelibrary.wiley.com/doi/epdf/10.2903/j.efsa.2020.605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grow-eu-tbt@ec.europa.eu" TargetMode="External"/><Relationship Id="rId12" Type="http://schemas.openxmlformats.org/officeDocument/2006/relationships/hyperlink" Target="https://efsa.onlinelibrary.wiley.com/doi/epdf/10.2903/j.efsa.2019.5633" TargetMode="External"/><Relationship Id="rId17" Type="http://schemas.openxmlformats.org/officeDocument/2006/relationships/hyperlink" Target="https://members.wto.org/crnattachments/2021/TBT/EEC/21_7189_01_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mbers.wto.org/crnattachments/2021/TBT/EEC/21_7189_00_e.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sa.onlinelibrary.wiley.com/doi/epdf/10.2903/sp.efsa.2018.EN-147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c.europa.eu/growth/tools-databases/tbt/en/" TargetMode="External"/><Relationship Id="rId23" Type="http://schemas.openxmlformats.org/officeDocument/2006/relationships/footer" Target="footer3.xml"/><Relationship Id="rId10" Type="http://schemas.openxmlformats.org/officeDocument/2006/relationships/hyperlink" Target="http://eur-lex.europa.eu/legal-content/EN/TXT/?qid=1442928512004&amp;uri=CELEX:32011R05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ur-lex.europa.eu/legal-content/EN/TXT/PDF/?uri=CELEX:32009R1107&amp;qid=1437730988988&amp;from=EN" TargetMode="External"/><Relationship Id="rId14" Type="http://schemas.openxmlformats.org/officeDocument/2006/relationships/hyperlink" Target="mailto:grow-eu-tbt@ec.europa.e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5264</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2021-11-17T14:20:00Z</dcterms:created>
  <dcterms:modified xsi:type="dcterms:W3CDTF">2021-11-17T14:49:00Z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