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8D09" w14:textId="77777777" w:rsidR="009239F7" w:rsidRPr="002F6A28" w:rsidRDefault="00DE0C72" w:rsidP="002F6A28">
      <w:pPr>
        <w:pStyle w:val="Title"/>
        <w:rPr>
          <w:caps w:val="0"/>
          <w:kern w:val="0"/>
        </w:rPr>
      </w:pPr>
      <w:r w:rsidRPr="002F6A28">
        <w:rPr>
          <w:caps w:val="0"/>
          <w:kern w:val="0"/>
        </w:rPr>
        <w:t>NOTIFICATION</w:t>
      </w:r>
    </w:p>
    <w:p w14:paraId="24AA4BE4" w14:textId="77777777" w:rsidR="009239F7" w:rsidRPr="002F6A28" w:rsidRDefault="00DE0C72" w:rsidP="002F6A28">
      <w:pPr>
        <w:jc w:val="center"/>
      </w:pPr>
      <w:r w:rsidRPr="002F6A28">
        <w:t>The following notification is being circulated in accordance with Article 10.6</w:t>
      </w:r>
    </w:p>
    <w:p w14:paraId="342E377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2AA3" w14:paraId="71CFF8E5" w14:textId="77777777" w:rsidTr="0069259F">
        <w:tc>
          <w:tcPr>
            <w:tcW w:w="713" w:type="dxa"/>
            <w:tcBorders>
              <w:bottom w:val="single" w:sz="6" w:space="0" w:color="auto"/>
            </w:tcBorders>
            <w:shd w:val="clear" w:color="auto" w:fill="auto"/>
          </w:tcPr>
          <w:p w14:paraId="6C123DDF" w14:textId="77777777" w:rsidR="00F85C99" w:rsidRPr="002F6A28" w:rsidRDefault="00DE0C72" w:rsidP="002F6A28">
            <w:pPr>
              <w:spacing w:before="120" w:after="120"/>
              <w:jc w:val="left"/>
            </w:pPr>
            <w:r w:rsidRPr="002F6A28">
              <w:rPr>
                <w:b/>
              </w:rPr>
              <w:t>1.</w:t>
            </w:r>
          </w:p>
        </w:tc>
        <w:tc>
          <w:tcPr>
            <w:tcW w:w="8546" w:type="dxa"/>
            <w:tcBorders>
              <w:bottom w:val="single" w:sz="6" w:space="0" w:color="auto"/>
            </w:tcBorders>
            <w:shd w:val="clear" w:color="auto" w:fill="auto"/>
          </w:tcPr>
          <w:p w14:paraId="12DC80F6" w14:textId="77777777" w:rsidR="00F85C99" w:rsidRPr="002F6A28" w:rsidRDefault="00DE0C72" w:rsidP="00C805B6">
            <w:pPr>
              <w:spacing w:before="120" w:after="120"/>
            </w:pPr>
            <w:r w:rsidRPr="002F6A28">
              <w:rPr>
                <w:b/>
              </w:rPr>
              <w:t>Notifying Member:</w:t>
            </w:r>
            <w:r w:rsidR="00EE3A11" w:rsidRPr="00C92678">
              <w:t xml:space="preserve"> </w:t>
            </w:r>
            <w:r w:rsidR="00EE3A11" w:rsidRPr="00C92678">
              <w:rPr>
                <w:u w:val="single"/>
              </w:rPr>
              <w:t>EUROPEAN UNION</w:t>
            </w:r>
          </w:p>
          <w:p w14:paraId="304C150A" w14:textId="77777777" w:rsidR="00F85C99" w:rsidRPr="002F6A28" w:rsidRDefault="00DE0C72" w:rsidP="002F6A28">
            <w:pPr>
              <w:spacing w:after="120"/>
            </w:pPr>
            <w:r w:rsidRPr="002F6A28">
              <w:rPr>
                <w:b/>
              </w:rPr>
              <w:t>If applicable, name of local government involved (Article 3.2 and 7.2):</w:t>
            </w:r>
            <w:r w:rsidR="00EE3A11" w:rsidRPr="00C379C8">
              <w:t xml:space="preserve"> </w:t>
            </w:r>
          </w:p>
        </w:tc>
      </w:tr>
      <w:tr w:rsidR="00B02AA3" w:rsidRPr="00447A1B" w14:paraId="03077226" w14:textId="77777777" w:rsidTr="0069259F">
        <w:tc>
          <w:tcPr>
            <w:tcW w:w="713" w:type="dxa"/>
            <w:tcBorders>
              <w:top w:val="single" w:sz="6" w:space="0" w:color="auto"/>
              <w:bottom w:val="single" w:sz="6" w:space="0" w:color="auto"/>
            </w:tcBorders>
            <w:shd w:val="clear" w:color="auto" w:fill="auto"/>
          </w:tcPr>
          <w:p w14:paraId="528C6858" w14:textId="77777777" w:rsidR="00F85C99" w:rsidRPr="002F6A28" w:rsidRDefault="00DE0C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F8BDB3F" w14:textId="77777777" w:rsidR="00F85C99" w:rsidRPr="002F6A28" w:rsidRDefault="00DE0C72" w:rsidP="00155128">
            <w:pPr>
              <w:spacing w:before="120" w:after="120"/>
            </w:pPr>
            <w:r w:rsidRPr="002F6A28">
              <w:rPr>
                <w:b/>
              </w:rPr>
              <w:t>Agency responsible:</w:t>
            </w:r>
            <w:r w:rsidR="00EE3A11" w:rsidRPr="00C379C8">
              <w:t xml:space="preserve"> </w:t>
            </w:r>
          </w:p>
          <w:p w14:paraId="6366F393" w14:textId="77777777" w:rsidR="00EE3A11" w:rsidRPr="00C379C8" w:rsidRDefault="00DE0C72" w:rsidP="00155128">
            <w:pPr>
              <w:spacing w:after="120"/>
            </w:pPr>
            <w:r w:rsidRPr="00C379C8">
              <w:t>European Commission</w:t>
            </w:r>
          </w:p>
          <w:p w14:paraId="7F9B399F" w14:textId="77777777" w:rsidR="00F85C99" w:rsidRPr="002F6A28" w:rsidRDefault="00DE0C72" w:rsidP="00AA646C">
            <w:pPr>
              <w:spacing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r w:rsidR="00AC6C6E" w:rsidRPr="00C379C8">
              <w:t xml:space="preserve"> </w:t>
            </w:r>
          </w:p>
          <w:p w14:paraId="00FE8632" w14:textId="77777777" w:rsidR="00AC6C6E" w:rsidRPr="00DE0C72" w:rsidRDefault="00DE0C72" w:rsidP="00AA646C">
            <w:pPr>
              <w:rPr>
                <w:lang w:val="fr-CH"/>
              </w:rPr>
            </w:pPr>
            <w:r w:rsidRPr="00DE0C72">
              <w:rPr>
                <w:lang w:val="fr-CH"/>
              </w:rPr>
              <w:t>European Commission,</w:t>
            </w:r>
          </w:p>
          <w:p w14:paraId="3F6EE256" w14:textId="77777777" w:rsidR="00AC6C6E" w:rsidRPr="00DE0C72" w:rsidRDefault="00DE0C72" w:rsidP="00AA646C">
            <w:pPr>
              <w:rPr>
                <w:lang w:val="fr-CH"/>
              </w:rPr>
            </w:pPr>
            <w:r w:rsidRPr="00DE0C72">
              <w:rPr>
                <w:lang w:val="fr-CH"/>
              </w:rPr>
              <w:t>EU-TBT Enquiry Point,</w:t>
            </w:r>
          </w:p>
          <w:p w14:paraId="1BEDE399" w14:textId="77777777" w:rsidR="00AC6C6E" w:rsidRPr="00DE0C72" w:rsidRDefault="00DE0C72" w:rsidP="00AA646C">
            <w:pPr>
              <w:rPr>
                <w:lang w:val="fr-CH"/>
              </w:rPr>
            </w:pPr>
            <w:r w:rsidRPr="00DE0C72">
              <w:rPr>
                <w:lang w:val="fr-CH"/>
              </w:rPr>
              <w:t>Fax: +(32) 2 299 80 43,</w:t>
            </w:r>
          </w:p>
          <w:p w14:paraId="1041282C" w14:textId="77777777" w:rsidR="00AC6C6E" w:rsidRPr="00DE0C72" w:rsidRDefault="00DE0C72" w:rsidP="00AA646C">
            <w:pPr>
              <w:rPr>
                <w:lang w:val="fr-CH"/>
              </w:rPr>
            </w:pPr>
            <w:proofErr w:type="gramStart"/>
            <w:r w:rsidRPr="00DE0C72">
              <w:rPr>
                <w:lang w:val="fr-CH"/>
              </w:rPr>
              <w:t>E-mail:</w:t>
            </w:r>
            <w:proofErr w:type="gramEnd"/>
            <w:r w:rsidRPr="00DE0C72">
              <w:rPr>
                <w:lang w:val="fr-CH"/>
              </w:rPr>
              <w:t xml:space="preserve"> </w:t>
            </w:r>
            <w:r w:rsidR="00447A1B">
              <w:fldChar w:fldCharType="begin"/>
            </w:r>
            <w:r w:rsidR="00447A1B" w:rsidRPr="00447A1B">
              <w:rPr>
                <w:lang w:val="fr-CH"/>
              </w:rPr>
              <w:instrText>HYPERLINK "mailto:grow-eu-tbt@ec.europa.eu"</w:instrText>
            </w:r>
            <w:r w:rsidR="00447A1B">
              <w:fldChar w:fldCharType="separate"/>
            </w:r>
            <w:r w:rsidRPr="00DE0C72">
              <w:rPr>
                <w:color w:val="0000FF"/>
                <w:u w:val="single"/>
                <w:lang w:val="fr-CH"/>
              </w:rPr>
              <w:t>grow-eu-tbt@ec.europa.eu</w:t>
            </w:r>
            <w:r w:rsidR="00447A1B">
              <w:rPr>
                <w:color w:val="0000FF"/>
                <w:u w:val="single"/>
                <w:lang w:val="fr-CH"/>
              </w:rPr>
              <w:fldChar w:fldCharType="end"/>
            </w:r>
          </w:p>
          <w:p w14:paraId="2EAECD51" w14:textId="77777777" w:rsidR="00AC6C6E" w:rsidRPr="00447A1B" w:rsidRDefault="00DE0C72" w:rsidP="00AA646C">
            <w:pPr>
              <w:spacing w:after="120"/>
              <w:rPr>
                <w:lang w:val="fr-CH"/>
              </w:rPr>
            </w:pPr>
            <w:r w:rsidRPr="00447A1B">
              <w:rPr>
                <w:lang w:val="fr-CH"/>
              </w:rPr>
              <w:t xml:space="preserve">Website: </w:t>
            </w:r>
            <w:r w:rsidR="00447A1B">
              <w:fldChar w:fldCharType="begin"/>
            </w:r>
            <w:r w:rsidR="00447A1B" w:rsidRPr="00447A1B">
              <w:rPr>
                <w:lang w:val="fr-CH"/>
              </w:rPr>
              <w:instrText>HYPERLINK "http://ec.europa.eu/growth/tools-databases/tbt/en/" \t "_blank"</w:instrText>
            </w:r>
            <w:r w:rsidR="00447A1B">
              <w:fldChar w:fldCharType="separate"/>
            </w:r>
            <w:r w:rsidRPr="00447A1B">
              <w:rPr>
                <w:color w:val="0000FF"/>
                <w:u w:val="single"/>
                <w:lang w:val="fr-CH"/>
              </w:rPr>
              <w:t>http://ec.europa.eu/growth/tools-databases/tbt/en/</w:t>
            </w:r>
            <w:r w:rsidR="00447A1B">
              <w:rPr>
                <w:color w:val="0000FF"/>
                <w:u w:val="single"/>
              </w:rPr>
              <w:fldChar w:fldCharType="end"/>
            </w:r>
          </w:p>
        </w:tc>
      </w:tr>
      <w:tr w:rsidR="00B02AA3" w14:paraId="2E5E86C8" w14:textId="77777777" w:rsidTr="0069259F">
        <w:tc>
          <w:tcPr>
            <w:tcW w:w="713" w:type="dxa"/>
            <w:tcBorders>
              <w:top w:val="single" w:sz="6" w:space="0" w:color="auto"/>
              <w:bottom w:val="single" w:sz="6" w:space="0" w:color="auto"/>
            </w:tcBorders>
            <w:shd w:val="clear" w:color="auto" w:fill="auto"/>
          </w:tcPr>
          <w:p w14:paraId="4FB2C77D" w14:textId="77777777" w:rsidR="00F85C99" w:rsidRPr="002F6A28" w:rsidRDefault="00DE0C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89BDC48" w14:textId="77777777" w:rsidR="00F85C99" w:rsidRPr="0058336F" w:rsidRDefault="00DE0C72" w:rsidP="002F6A28">
            <w:pPr>
              <w:spacing w:before="120" w:after="120"/>
            </w:pPr>
            <w:r w:rsidRPr="002F6A28">
              <w:rPr>
                <w:b/>
              </w:rPr>
              <w:t xml:space="preserve">Notified under Article 2.9.2 [X], 2.10.1 </w:t>
            </w:r>
            <w:proofErr w:type="gramStart"/>
            <w:r w:rsidRPr="002F6A28">
              <w:rPr>
                <w:b/>
              </w:rPr>
              <w:t>[ ]</w:t>
            </w:r>
            <w:proofErr w:type="gramEnd"/>
            <w:r w:rsidRPr="002F6A28">
              <w:rPr>
                <w:b/>
              </w:rPr>
              <w:t>,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02AA3" w14:paraId="2C07BACB" w14:textId="77777777" w:rsidTr="0069259F">
        <w:tc>
          <w:tcPr>
            <w:tcW w:w="713" w:type="dxa"/>
            <w:tcBorders>
              <w:top w:val="single" w:sz="6" w:space="0" w:color="auto"/>
              <w:bottom w:val="single" w:sz="6" w:space="0" w:color="auto"/>
            </w:tcBorders>
            <w:shd w:val="clear" w:color="auto" w:fill="auto"/>
          </w:tcPr>
          <w:p w14:paraId="7B656B36" w14:textId="77777777" w:rsidR="00F85C99" w:rsidRPr="002F6A28" w:rsidRDefault="00DE0C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CCEFE89" w14:textId="77777777" w:rsidR="00F85C99" w:rsidRPr="002F6A28" w:rsidRDefault="00DE0C7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Household tumble dryers and electronic household and office equipment</w:t>
            </w:r>
          </w:p>
        </w:tc>
      </w:tr>
      <w:tr w:rsidR="00B02AA3" w14:paraId="5D6FFF72" w14:textId="77777777" w:rsidTr="0069259F">
        <w:tc>
          <w:tcPr>
            <w:tcW w:w="713" w:type="dxa"/>
            <w:tcBorders>
              <w:top w:val="single" w:sz="6" w:space="0" w:color="auto"/>
              <w:bottom w:val="single" w:sz="6" w:space="0" w:color="auto"/>
            </w:tcBorders>
            <w:shd w:val="clear" w:color="auto" w:fill="auto"/>
          </w:tcPr>
          <w:p w14:paraId="3F95BC50" w14:textId="77777777" w:rsidR="00F85C99" w:rsidRPr="002F6A28" w:rsidRDefault="00DE0C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E66163C" w14:textId="77777777" w:rsidR="00F85C99" w:rsidRPr="002F6A28" w:rsidRDefault="00DE0C72" w:rsidP="002F6A28">
            <w:pPr>
              <w:spacing w:before="120" w:after="120"/>
            </w:pPr>
            <w:r w:rsidRPr="002F6A28">
              <w:rPr>
                <w:b/>
              </w:rPr>
              <w:t>Title, number of pages and language(s) of the notified document:</w:t>
            </w:r>
            <w:r w:rsidR="00EE3A11" w:rsidRPr="00C379C8">
              <w:t xml:space="preserve"> Draft Commission Regulation amending Commission Regulation (EU) 2023/826 laying down </w:t>
            </w:r>
            <w:proofErr w:type="spellStart"/>
            <w:r w:rsidR="00EE3A11" w:rsidRPr="00C379C8">
              <w:t>ecodesign</w:t>
            </w:r>
            <w:proofErr w:type="spellEnd"/>
            <w:r w:rsidR="00EE3A11" w:rsidRPr="00C379C8">
              <w:t xml:space="preserve"> requirements for off mode, standby mode, and networked standby energy consumption of electrical and electronic household and office equipment and Commission Regulation (EU) 2023/2533 laying down </w:t>
            </w:r>
            <w:proofErr w:type="spellStart"/>
            <w:r w:rsidR="00EE3A11" w:rsidRPr="00C379C8">
              <w:t>ecodesign</w:t>
            </w:r>
            <w:proofErr w:type="spellEnd"/>
            <w:r w:rsidR="00EE3A11" w:rsidRPr="00C379C8">
              <w:t xml:space="preserve"> requirements for household tumble dryers; (4 page(s), in English), (7 page(s), in English)</w:t>
            </w:r>
          </w:p>
        </w:tc>
      </w:tr>
      <w:tr w:rsidR="00B02AA3" w14:paraId="6C191E11" w14:textId="77777777" w:rsidTr="0069259F">
        <w:tc>
          <w:tcPr>
            <w:tcW w:w="713" w:type="dxa"/>
            <w:tcBorders>
              <w:top w:val="single" w:sz="6" w:space="0" w:color="auto"/>
              <w:bottom w:val="single" w:sz="6" w:space="0" w:color="auto"/>
            </w:tcBorders>
            <w:shd w:val="clear" w:color="auto" w:fill="auto"/>
          </w:tcPr>
          <w:p w14:paraId="2CA797CD" w14:textId="77777777" w:rsidR="00F85C99" w:rsidRPr="002F6A28" w:rsidRDefault="00DE0C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4774FB7" w14:textId="77777777" w:rsidR="00F85C99" w:rsidRPr="002F6A28" w:rsidRDefault="00DE0C72" w:rsidP="002F6A28">
            <w:pPr>
              <w:spacing w:before="120" w:after="120"/>
              <w:rPr>
                <w:b/>
              </w:rPr>
            </w:pPr>
            <w:r w:rsidRPr="002F6A28">
              <w:rPr>
                <w:b/>
              </w:rPr>
              <w:t>Description of content:</w:t>
            </w:r>
            <w:r w:rsidR="00FE448B" w:rsidRPr="00C379C8">
              <w:t xml:space="preserve"> This draft Commission Regulation amends the recently approved Regulations (EU) 2023/2533 on </w:t>
            </w:r>
            <w:proofErr w:type="spellStart"/>
            <w:r w:rsidR="00FE448B" w:rsidRPr="00C379C8">
              <w:t>ecodesign</w:t>
            </w:r>
            <w:proofErr w:type="spellEnd"/>
            <w:r w:rsidR="00FE448B" w:rsidRPr="00C379C8">
              <w:t xml:space="preserve"> requirements for household tumble dryers and (EU) 2023/826 on low power modes of electric and electronic household and office equipment.</w:t>
            </w:r>
          </w:p>
          <w:p w14:paraId="6039FAD1" w14:textId="77777777" w:rsidR="00FE448B" w:rsidRPr="00C379C8" w:rsidRDefault="00DE0C72" w:rsidP="002F6A28">
            <w:pPr>
              <w:spacing w:before="120" w:after="120"/>
            </w:pPr>
            <w:r w:rsidRPr="00C379C8">
              <w:t xml:space="preserve">On Regulation (EU) 2023/2533, the following changes are made: Article 13 is amended to include the dates of entry into application of Articles 7, 12(1) and 12(2), which were missing in the Regulation. In Annex I, a definition of average final moisture content is added; the definition of standby mode is </w:t>
            </w:r>
            <w:proofErr w:type="gramStart"/>
            <w:r w:rsidRPr="00C379C8">
              <w:t>modified</w:t>
            </w:r>
            <w:proofErr w:type="gramEnd"/>
            <w:r w:rsidRPr="00C379C8">
              <w:t xml:space="preserve"> and new definitions related to low power modes are added. In Annex II, the names of some spare parts are modified; a new spare part (motor capacitor), is added; the obligation to display, on a free access website, the repair information of spare parts whose availability is limited to professional repairers is removed; and the paragraph related to the technical information to be provided for different operation modes is redrafted for better clarity. In Annex III, references to the average final moisture content, including the calculation method, are removed. In Annex </w:t>
            </w:r>
            <w:r w:rsidRPr="00C379C8">
              <w:lastRenderedPageBreak/>
              <w:t>IV, some redrafting has been made to better differentiate the validity criteria from the verification criteria.</w:t>
            </w:r>
          </w:p>
          <w:p w14:paraId="2B580DE0" w14:textId="77777777" w:rsidR="00FE448B" w:rsidRPr="00C379C8" w:rsidRDefault="00DE0C72" w:rsidP="002F6A28">
            <w:pPr>
              <w:spacing w:before="120" w:after="120"/>
            </w:pPr>
            <w:r w:rsidRPr="00C379C8">
              <w:t>On Regulation (EU) 2023/826, the following changes are made: In Annex II, grinders are better defined by adding after the word grinder, 'used in the kitchen for the processing of food'. In Annex IV, the text which is currently under letter d) of the second paragraph is inserted as a separate paragraph after the first paragraph. The definition of 'motor-operated building elements' is modified to ensure that all products listed in Annex II point 6 fall under the definition. Finally, a definition of 'control unit' is added to clarify the definition of 'motor-operated building elements' that refers to the control unit.</w:t>
            </w:r>
          </w:p>
        </w:tc>
      </w:tr>
      <w:tr w:rsidR="00B02AA3" w14:paraId="4ADB71AB" w14:textId="77777777" w:rsidTr="0069259F">
        <w:tc>
          <w:tcPr>
            <w:tcW w:w="713" w:type="dxa"/>
            <w:tcBorders>
              <w:top w:val="single" w:sz="6" w:space="0" w:color="auto"/>
              <w:bottom w:val="single" w:sz="6" w:space="0" w:color="auto"/>
            </w:tcBorders>
            <w:shd w:val="clear" w:color="auto" w:fill="auto"/>
          </w:tcPr>
          <w:p w14:paraId="1AA36E42" w14:textId="77777777" w:rsidR="00F85C99" w:rsidRPr="002F6A28" w:rsidRDefault="00DE0C7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AC9AC07" w14:textId="77777777" w:rsidR="00F85C99" w:rsidRPr="002F6A28" w:rsidRDefault="00DE0C72" w:rsidP="002F6A28">
            <w:pPr>
              <w:spacing w:before="120" w:after="120"/>
              <w:rPr>
                <w:b/>
              </w:rPr>
            </w:pPr>
            <w:r w:rsidRPr="002F6A28">
              <w:rPr>
                <w:b/>
              </w:rPr>
              <w:t>Objective and rationale, including the nature of urgent problems where applicable:</w:t>
            </w:r>
            <w:r w:rsidR="00EE3A11" w:rsidRPr="00C379C8">
              <w:t xml:space="preserve"> After the adoption of Regulations (EU) 2023/2533 and (EU) 2023/826 certain aspects have been identified that need to be adapted.</w:t>
            </w:r>
          </w:p>
          <w:p w14:paraId="75D9380B" w14:textId="77777777" w:rsidR="00EE3A11" w:rsidRPr="00C379C8" w:rsidRDefault="00DE0C72" w:rsidP="002F6A28">
            <w:pPr>
              <w:spacing w:before="120" w:after="120"/>
            </w:pPr>
            <w:r w:rsidRPr="00C379C8">
              <w:t xml:space="preserve">In Regulation (EU) 2023/2533 the calculation of the average final moisture content needs to be removed, </w:t>
            </w:r>
            <w:proofErr w:type="gramStart"/>
            <w:r w:rsidRPr="00C379C8">
              <w:t>in order to</w:t>
            </w:r>
            <w:proofErr w:type="gramEnd"/>
            <w:r w:rsidRPr="00C379C8">
              <w:t xml:space="preserve"> prevent that a 0% for the average final moisture content is declared in the technical documentation of the product, which could lead to damage to textiles and excessive energy consumption. The average final moisture content should, instead, be measured and calculated as laid down in relevant harmonised standards. Further, the description about the technical information to be provided for different operation modes of the appliance needs to be improved, since it is not clear which parameters must be provided only at full load and which at both full and partial load. The writing regarding some aspects related to the spare parts available to professional repairers must also be improved to facilitate the identification of some of the spare parts, to include a new spare part that will be relevant for the calculation of the repairability score (which will be implemented by a simultaneous amendment to Regulation (EU) 2023/2534), and to remove the obligation to display in public access websites, the repair information of spare parts whose availability is limited to professional repairers, since reserved information should not be publicly available. Some paragraphs in Annex IV have been redrafted to avoid confusion among manufacturers between validity and verification criteria. Finally, the definition on standby mode and some definitions related to low power modes have been added to ensure consistency between this Regulation and Regulation (EU) 2023/826.</w:t>
            </w:r>
          </w:p>
          <w:p w14:paraId="29480458" w14:textId="77777777" w:rsidR="00EE3A11" w:rsidRPr="00C379C8" w:rsidRDefault="00DE0C72" w:rsidP="002F6A28">
            <w:pPr>
              <w:spacing w:before="120" w:after="120"/>
            </w:pPr>
            <w:r w:rsidRPr="00C379C8">
              <w:t>In Regulation (EU) 2023/826, the type of grinders that fall in the scope of the Regulation had to be clarified, since, with the current wording, there was uncertainty as to whether other types of grinders fall in the scope. In addition, it was necessary to clarify that the measurement conditions for coffee machines apply to all coffee machines and not only to the ones that are considered networked equipment. Furthermore, a definition for 'control unit' had to be added, since the 'motor-operated building element' definition refers to it. Finally, the 'motor-operated building element' definition was modified by referring to "buildings or related structures" instead of just "buildings", to make sure that all motor-operated building elements listed in Annex II point 6, including "gates", can fall under this definition; Prevention of deceptive practices and consumer protection; Protection of the environment; Harmonization</w:t>
            </w:r>
          </w:p>
        </w:tc>
      </w:tr>
      <w:tr w:rsidR="00B02AA3" w:rsidRPr="00447A1B" w14:paraId="370B45BC" w14:textId="77777777" w:rsidTr="0069259F">
        <w:tc>
          <w:tcPr>
            <w:tcW w:w="713" w:type="dxa"/>
            <w:tcBorders>
              <w:top w:val="single" w:sz="6" w:space="0" w:color="auto"/>
              <w:bottom w:val="single" w:sz="6" w:space="0" w:color="auto"/>
            </w:tcBorders>
            <w:shd w:val="clear" w:color="auto" w:fill="auto"/>
          </w:tcPr>
          <w:p w14:paraId="5FA494D2" w14:textId="77777777" w:rsidR="00F85C99" w:rsidRPr="002F6A28" w:rsidRDefault="00DE0C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7EE251D" w14:textId="77777777" w:rsidR="00086AF5" w:rsidRPr="00086AF5" w:rsidRDefault="00DE0C72" w:rsidP="007F13E8">
            <w:pPr>
              <w:spacing w:before="120" w:after="120"/>
              <w:rPr>
                <w:bCs/>
              </w:rPr>
            </w:pPr>
            <w:r w:rsidRPr="002F6A28">
              <w:rPr>
                <w:b/>
              </w:rPr>
              <w:t>Relevant documents:</w:t>
            </w:r>
            <w:r w:rsidR="00EE3A11" w:rsidRPr="002F6A28">
              <w:t xml:space="preserve"> </w:t>
            </w:r>
          </w:p>
          <w:p w14:paraId="1612A7CC" w14:textId="77777777" w:rsidR="00EE3A11" w:rsidRPr="002F6A28" w:rsidRDefault="00447A1B" w:rsidP="007F13E8">
            <w:pPr>
              <w:spacing w:before="120" w:after="120"/>
            </w:pPr>
            <w:hyperlink r:id="rId9" w:history="1">
              <w:r w:rsidR="00DE0C72" w:rsidRPr="002F6A28">
                <w:rPr>
                  <w:color w:val="0000FF"/>
                  <w:u w:val="single"/>
                </w:rPr>
                <w:t>Directive 2009/125/EC</w:t>
              </w:r>
            </w:hyperlink>
            <w:r w:rsidR="00DE0C72" w:rsidRPr="002F6A28">
              <w:t xml:space="preserve"> of the European Parliament and of the Council of 21 October 2009 establishing a framework for the setting of </w:t>
            </w:r>
            <w:proofErr w:type="spellStart"/>
            <w:r w:rsidR="00DE0C72" w:rsidRPr="002F6A28">
              <w:t>ecodesign</w:t>
            </w:r>
            <w:proofErr w:type="spellEnd"/>
            <w:r w:rsidR="00DE0C72" w:rsidRPr="002F6A28">
              <w:t xml:space="preserve"> requirements for energy-related products, </w:t>
            </w:r>
            <w:r w:rsidR="00DE0C72" w:rsidRPr="002F6A28">
              <w:rPr>
                <w:i/>
                <w:iCs/>
              </w:rPr>
              <w:t xml:space="preserve">Official Journal L </w:t>
            </w:r>
            <w:proofErr w:type="gramStart"/>
            <w:r w:rsidR="00DE0C72" w:rsidRPr="002F6A28">
              <w:rPr>
                <w:i/>
                <w:iCs/>
              </w:rPr>
              <w:t>285 ,</w:t>
            </w:r>
            <w:proofErr w:type="gramEnd"/>
            <w:r w:rsidR="00DE0C72" w:rsidRPr="002F6A28">
              <w:rPr>
                <w:i/>
                <w:iCs/>
              </w:rPr>
              <w:t xml:space="preserve"> 31 October 2009, P. 010.</w:t>
            </w:r>
          </w:p>
          <w:p w14:paraId="64BC03EA" w14:textId="77777777" w:rsidR="00EE3A11" w:rsidRPr="002F6A28" w:rsidRDefault="00447A1B" w:rsidP="007F13E8">
            <w:pPr>
              <w:spacing w:before="120" w:after="120"/>
            </w:pPr>
            <w:hyperlink r:id="rId10" w:history="1">
              <w:r w:rsidR="00DE0C72" w:rsidRPr="002F6A28">
                <w:rPr>
                  <w:color w:val="0000FF"/>
                  <w:u w:val="single"/>
                </w:rPr>
                <w:t>http://eur-lex.europa.eu/LexUriServ/LexUriServ.do?uri=OJ:L:2009:285:0010:0035:en:PDF</w:t>
              </w:r>
            </w:hyperlink>
          </w:p>
          <w:p w14:paraId="1BEF1ACD" w14:textId="77777777" w:rsidR="00EE3A11" w:rsidRPr="002F6A28" w:rsidRDefault="00DE0C72" w:rsidP="007F13E8">
            <w:pPr>
              <w:spacing w:before="120" w:after="120"/>
            </w:pPr>
            <w:r w:rsidRPr="002F6A28">
              <w:t xml:space="preserve">Commission Regulation (EU) 2023/2533 of 17 November 2023 implementing Directive 2009/125/EC of the European Parliament and of the Council </w:t>
            </w:r>
            <w:proofErr w:type="gramStart"/>
            <w:r w:rsidRPr="002F6A28">
              <w:t>with regard to</w:t>
            </w:r>
            <w:proofErr w:type="gramEnd"/>
            <w:r w:rsidRPr="002F6A28">
              <w:t xml:space="preserve"> </w:t>
            </w:r>
            <w:proofErr w:type="spellStart"/>
            <w:r w:rsidRPr="002F6A28">
              <w:t>ecodesign</w:t>
            </w:r>
            <w:proofErr w:type="spellEnd"/>
            <w:r w:rsidRPr="002F6A28">
              <w:t xml:space="preserve"> requirements for household tumble dryers, amending Commission Regulation (EU) 2023/826, and repealing Commission Regulation (EU) No 932/2012.</w:t>
            </w:r>
          </w:p>
          <w:p w14:paraId="3EE3E870" w14:textId="77777777" w:rsidR="00EE3A11" w:rsidRPr="00DE0C72" w:rsidRDefault="00447A1B" w:rsidP="007F13E8">
            <w:pPr>
              <w:spacing w:before="120" w:after="120"/>
              <w:rPr>
                <w:lang w:val="fr-CH"/>
              </w:rPr>
            </w:pPr>
            <w:r>
              <w:fldChar w:fldCharType="begin"/>
            </w:r>
            <w:r w:rsidRPr="00447A1B">
              <w:rPr>
                <w:lang w:val="fr-CH"/>
              </w:rPr>
              <w:instrText>HYPERLINK "https://eur-lex.europa.eu/legal-content/EN/TXT/?uri=OJ%3AL_202302533&amp;qid=1700646701114"</w:instrText>
            </w:r>
            <w:r>
              <w:fldChar w:fldCharType="separate"/>
            </w:r>
            <w:r w:rsidR="00DE0C72" w:rsidRPr="00DE0C72">
              <w:rPr>
                <w:color w:val="0000FF"/>
                <w:u w:val="single"/>
                <w:lang w:val="fr-CH"/>
              </w:rPr>
              <w:t>Regulation - EU - 2023/2533 - EN - EUR-Lex (europa.eu)</w:t>
            </w:r>
            <w:r>
              <w:rPr>
                <w:color w:val="0000FF"/>
                <w:u w:val="single"/>
                <w:lang w:val="fr-CH"/>
              </w:rPr>
              <w:fldChar w:fldCharType="end"/>
            </w:r>
          </w:p>
          <w:p w14:paraId="4858F2D8" w14:textId="77777777" w:rsidR="00EE3A11" w:rsidRPr="002F6A28" w:rsidRDefault="00DE0C72" w:rsidP="007F13E8">
            <w:pPr>
              <w:spacing w:before="120" w:after="120"/>
            </w:pPr>
            <w:r w:rsidRPr="002F6A28">
              <w:t xml:space="preserve">Commission Regulation (EU) 2023/826 of 17 April 2023 laying down </w:t>
            </w:r>
            <w:proofErr w:type="spellStart"/>
            <w:r w:rsidRPr="002F6A28">
              <w:t>ecodesign</w:t>
            </w:r>
            <w:proofErr w:type="spellEnd"/>
            <w:r w:rsidRPr="002F6A28">
              <w:t xml:space="preserve"> requirements for off mode, standby mode, and networked standby energy consumption </w:t>
            </w:r>
            <w:r w:rsidRPr="002F6A28">
              <w:lastRenderedPageBreak/>
              <w:t>of electric and electronical household and office equipment pursuant to Directive 2009/125/EC of the European Parliament and of the Council and repealing Commission Regulations (EC) No 1275/2008 and (EC) No 107/2009</w:t>
            </w:r>
          </w:p>
          <w:p w14:paraId="1769205D" w14:textId="77777777" w:rsidR="00EE3A11" w:rsidRPr="00DE0C72" w:rsidRDefault="00447A1B" w:rsidP="007F13E8">
            <w:pPr>
              <w:spacing w:before="120" w:after="120"/>
              <w:rPr>
                <w:lang w:val="fr-CH"/>
              </w:rPr>
            </w:pPr>
            <w:r>
              <w:fldChar w:fldCharType="begin"/>
            </w:r>
            <w:r w:rsidRPr="00447A1B">
              <w:rPr>
                <w:lang w:val="fr-CH"/>
              </w:rPr>
              <w:instrText>HYPERLINK "https://eur-lex.europa.eu/legal-content/EN/TXT/?uri=CELEX%3A32023R0826"</w:instrText>
            </w:r>
            <w:r>
              <w:fldChar w:fldCharType="separate"/>
            </w:r>
            <w:r w:rsidR="00DE0C72" w:rsidRPr="00DE0C72">
              <w:rPr>
                <w:color w:val="0000FF"/>
                <w:u w:val="single"/>
                <w:lang w:val="fr-CH"/>
              </w:rPr>
              <w:t>Regulation - 2023/826 - EN - EUR-Lex (europa.eu)</w:t>
            </w:r>
            <w:r>
              <w:rPr>
                <w:color w:val="0000FF"/>
                <w:u w:val="single"/>
                <w:lang w:val="fr-CH"/>
              </w:rPr>
              <w:fldChar w:fldCharType="end"/>
            </w:r>
          </w:p>
        </w:tc>
      </w:tr>
      <w:tr w:rsidR="00B02AA3" w14:paraId="4531F093" w14:textId="77777777" w:rsidTr="00AE6CC8">
        <w:trPr>
          <w:cantSplit/>
        </w:trPr>
        <w:tc>
          <w:tcPr>
            <w:tcW w:w="713" w:type="dxa"/>
            <w:tcBorders>
              <w:top w:val="single" w:sz="6" w:space="0" w:color="auto"/>
              <w:bottom w:val="single" w:sz="6" w:space="0" w:color="auto"/>
            </w:tcBorders>
            <w:shd w:val="clear" w:color="auto" w:fill="auto"/>
          </w:tcPr>
          <w:p w14:paraId="467F0EBE" w14:textId="77777777" w:rsidR="00EE3A11" w:rsidRPr="002F6A28" w:rsidRDefault="00DE0C7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36579E0" w14:textId="77777777" w:rsidR="00EE3A11" w:rsidRPr="002F6A28" w:rsidRDefault="00DE0C72" w:rsidP="008953C4">
            <w:pPr>
              <w:spacing w:before="120" w:after="120"/>
            </w:pPr>
            <w:r w:rsidRPr="002F6A28">
              <w:rPr>
                <w:b/>
              </w:rPr>
              <w:t>Proposed date of adoption:</w:t>
            </w:r>
            <w:r w:rsidRPr="00C379C8">
              <w:t xml:space="preserve"> March 2025</w:t>
            </w:r>
          </w:p>
          <w:p w14:paraId="37013A9A" w14:textId="77777777" w:rsidR="00EE3A11" w:rsidRPr="002F6A28" w:rsidRDefault="00DE0C72" w:rsidP="008953C4">
            <w:pPr>
              <w:spacing w:after="120"/>
            </w:pPr>
            <w:r w:rsidRPr="002F6A28">
              <w:rPr>
                <w:b/>
              </w:rPr>
              <w:t>Proposed date of entry into force:</w:t>
            </w:r>
            <w:r w:rsidRPr="00C379C8">
              <w:t xml:space="preserve"> 20 days from publication in the Official Journal of the EU. The provisions shall apply from 1 July 2025</w:t>
            </w:r>
          </w:p>
        </w:tc>
      </w:tr>
      <w:tr w:rsidR="00B02AA3" w14:paraId="6123A95D" w14:textId="77777777" w:rsidTr="0069259F">
        <w:tc>
          <w:tcPr>
            <w:tcW w:w="713" w:type="dxa"/>
            <w:tcBorders>
              <w:top w:val="single" w:sz="6" w:space="0" w:color="auto"/>
              <w:bottom w:val="single" w:sz="6" w:space="0" w:color="auto"/>
            </w:tcBorders>
            <w:shd w:val="clear" w:color="auto" w:fill="auto"/>
          </w:tcPr>
          <w:p w14:paraId="27E70DF2" w14:textId="77777777" w:rsidR="00F85C99" w:rsidRPr="002F6A28" w:rsidRDefault="00DE0C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60ECEE2" w14:textId="77777777" w:rsidR="00F85C99" w:rsidRPr="002F6A28" w:rsidRDefault="00DE0C72" w:rsidP="002F6A28">
            <w:pPr>
              <w:spacing w:before="120" w:after="120"/>
            </w:pPr>
            <w:r w:rsidRPr="002F6A28">
              <w:rPr>
                <w:b/>
              </w:rPr>
              <w:t>Final date for comments:</w:t>
            </w:r>
            <w:r w:rsidR="00EE3A11" w:rsidRPr="00C379C8">
              <w:t xml:space="preserve"> 60 days from notification</w:t>
            </w:r>
          </w:p>
        </w:tc>
      </w:tr>
      <w:tr w:rsidR="00B02AA3" w14:paraId="0D7585EF" w14:textId="77777777" w:rsidTr="0069259F">
        <w:tc>
          <w:tcPr>
            <w:tcW w:w="713" w:type="dxa"/>
            <w:tcBorders>
              <w:top w:val="single" w:sz="6" w:space="0" w:color="auto"/>
            </w:tcBorders>
            <w:shd w:val="clear" w:color="auto" w:fill="auto"/>
          </w:tcPr>
          <w:p w14:paraId="302538E4" w14:textId="77777777" w:rsidR="00F85C99" w:rsidRPr="002F6A28" w:rsidRDefault="00DE0C7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F045015" w14:textId="77777777" w:rsidR="00F85C99" w:rsidRPr="002F6A28" w:rsidRDefault="00DE0C7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proofErr w:type="gramStart"/>
            <w:r w:rsidR="00533DC1" w:rsidRPr="002F6A28">
              <w:rPr>
                <w:b/>
              </w:rPr>
              <w:t xml:space="preserve">[ </w:t>
            </w:r>
            <w:r w:rsidRPr="002F6A28">
              <w:rPr>
                <w:b/>
              </w:rPr>
              <w:t>]</w:t>
            </w:r>
            <w:proofErr w:type="gramEnd"/>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380F386" w14:textId="77777777" w:rsidR="00EE3A11" w:rsidRPr="00DE0C72" w:rsidRDefault="00DE0C72" w:rsidP="00B16145">
            <w:pPr>
              <w:keepNext/>
              <w:keepLines/>
              <w:rPr>
                <w:bCs/>
                <w:lang w:val="fr-CH"/>
              </w:rPr>
            </w:pPr>
            <w:r w:rsidRPr="00DE0C72">
              <w:rPr>
                <w:bCs/>
                <w:lang w:val="fr-CH"/>
              </w:rPr>
              <w:t>European Commission,</w:t>
            </w:r>
          </w:p>
          <w:p w14:paraId="050B1082" w14:textId="77777777" w:rsidR="00EE3A11" w:rsidRPr="00DE0C72" w:rsidRDefault="00DE0C72" w:rsidP="00B16145">
            <w:pPr>
              <w:keepNext/>
              <w:keepLines/>
              <w:rPr>
                <w:bCs/>
                <w:lang w:val="fr-CH"/>
              </w:rPr>
            </w:pPr>
            <w:r w:rsidRPr="00DE0C72">
              <w:rPr>
                <w:bCs/>
                <w:lang w:val="fr-CH"/>
              </w:rPr>
              <w:t>EU-TBT Enquiry Point,</w:t>
            </w:r>
          </w:p>
          <w:p w14:paraId="148500E1" w14:textId="77777777" w:rsidR="00EE3A11" w:rsidRPr="00DE0C72" w:rsidRDefault="00DE0C72" w:rsidP="00B16145">
            <w:pPr>
              <w:keepNext/>
              <w:keepLines/>
              <w:rPr>
                <w:bCs/>
                <w:lang w:val="fr-CH"/>
              </w:rPr>
            </w:pPr>
            <w:r w:rsidRPr="00DE0C72">
              <w:rPr>
                <w:bCs/>
                <w:lang w:val="fr-CH"/>
              </w:rPr>
              <w:t>Fax: + (32) 2 299 80 43,</w:t>
            </w:r>
          </w:p>
          <w:p w14:paraId="4D7F6D50" w14:textId="77777777" w:rsidR="00EE3A11" w:rsidRPr="00447A1B" w:rsidRDefault="00DE0C72" w:rsidP="00B16145">
            <w:pPr>
              <w:keepNext/>
              <w:keepLines/>
              <w:rPr>
                <w:bCs/>
              </w:rPr>
            </w:pPr>
            <w:r w:rsidRPr="00447A1B">
              <w:rPr>
                <w:bCs/>
              </w:rPr>
              <w:t xml:space="preserve">E-mail: </w:t>
            </w:r>
            <w:r w:rsidR="00447A1B">
              <w:fldChar w:fldCharType="begin"/>
            </w:r>
            <w:r w:rsidR="00447A1B">
              <w:instrText>HYPERLINK "mailto:grow-eu-tbt@ec.europa.eu"</w:instrText>
            </w:r>
            <w:r w:rsidR="00447A1B">
              <w:fldChar w:fldCharType="separate"/>
            </w:r>
            <w:r w:rsidRPr="00447A1B">
              <w:rPr>
                <w:bCs/>
                <w:color w:val="0000FF"/>
                <w:u w:val="single"/>
              </w:rPr>
              <w:t>grow-eu-tbt@ec.europa.eu</w:t>
            </w:r>
            <w:r w:rsidR="00447A1B">
              <w:rPr>
                <w:bCs/>
                <w:color w:val="0000FF"/>
                <w:u w:val="single"/>
                <w:lang w:val="fr-CH"/>
              </w:rPr>
              <w:fldChar w:fldCharType="end"/>
            </w:r>
          </w:p>
          <w:p w14:paraId="2C916B08" w14:textId="77777777" w:rsidR="00EE3A11" w:rsidRPr="00A12DDE" w:rsidRDefault="00DE0C72" w:rsidP="00B16145">
            <w:pPr>
              <w:keepNext/>
              <w:keepLines/>
              <w:rPr>
                <w:bCs/>
              </w:rPr>
            </w:pPr>
            <w:r w:rsidRPr="00A12DDE">
              <w:rPr>
                <w:bCs/>
              </w:rPr>
              <w:t xml:space="preserve">The text is available on the EU-TBT </w:t>
            </w:r>
            <w:proofErr w:type="gramStart"/>
            <w:r w:rsidRPr="00A12DDE">
              <w:rPr>
                <w:bCs/>
              </w:rPr>
              <w:t>Website :</w:t>
            </w:r>
            <w:proofErr w:type="gramEnd"/>
            <w:r w:rsidRPr="00A12DDE">
              <w:rPr>
                <w:bCs/>
              </w:rPr>
              <w:t xml:space="preserve"> </w:t>
            </w:r>
            <w:hyperlink r:id="rId11" w:tgtFrame="_blank" w:history="1">
              <w:r w:rsidRPr="00A12DDE">
                <w:rPr>
                  <w:bCs/>
                  <w:color w:val="0000FF"/>
                  <w:u w:val="single"/>
                </w:rPr>
                <w:t>http://ec.europa.eu/growth/tools-databases/tbt/en/</w:t>
              </w:r>
            </w:hyperlink>
          </w:p>
          <w:p w14:paraId="61C3EAFF" w14:textId="77777777" w:rsidR="00EE3A11" w:rsidRPr="00A12DDE" w:rsidRDefault="00447A1B" w:rsidP="00B16145">
            <w:pPr>
              <w:keepNext/>
              <w:keepLines/>
              <w:pBdr>
                <w:top w:val="none" w:sz="0" w:space="4" w:color="auto"/>
              </w:pBdr>
              <w:rPr>
                <w:bCs/>
              </w:rPr>
            </w:pPr>
            <w:hyperlink r:id="rId12" w:tgtFrame="_blank" w:history="1">
              <w:r w:rsidR="00DE0C72" w:rsidRPr="00A12DDE">
                <w:rPr>
                  <w:bCs/>
                  <w:color w:val="0000FF"/>
                  <w:u w:val="single"/>
                </w:rPr>
                <w:t>https://members.wto.org/crnattachments/2024/TBT/EEC/24_07370_00_e.pdf</w:t>
              </w:r>
            </w:hyperlink>
          </w:p>
          <w:p w14:paraId="341B115A" w14:textId="77777777" w:rsidR="00EE3A11" w:rsidRPr="00A12DDE" w:rsidRDefault="00447A1B" w:rsidP="00B16145">
            <w:pPr>
              <w:keepNext/>
              <w:keepLines/>
              <w:spacing w:after="120"/>
              <w:rPr>
                <w:bCs/>
              </w:rPr>
            </w:pPr>
            <w:hyperlink r:id="rId13" w:tgtFrame="_blank" w:history="1">
              <w:r w:rsidR="00DE0C72" w:rsidRPr="00A12DDE">
                <w:rPr>
                  <w:bCs/>
                  <w:color w:val="0000FF"/>
                  <w:u w:val="single"/>
                </w:rPr>
                <w:t>https://members.wto.org/crnattachments/2024/TBT/EEC/24_07370_01_e.pdf</w:t>
              </w:r>
            </w:hyperlink>
          </w:p>
        </w:tc>
      </w:tr>
    </w:tbl>
    <w:p w14:paraId="709FEC4D"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B38D" w14:textId="77777777" w:rsidR="00DE0C72" w:rsidRDefault="00DE0C72">
      <w:r>
        <w:separator/>
      </w:r>
    </w:p>
  </w:endnote>
  <w:endnote w:type="continuationSeparator" w:id="0">
    <w:p w14:paraId="4BCA35F0" w14:textId="77777777" w:rsidR="00DE0C72" w:rsidRDefault="00DE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BBD1" w14:textId="77777777" w:rsidR="009239F7" w:rsidRPr="002F6A28" w:rsidRDefault="00DE0C7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AEA" w14:textId="77777777" w:rsidR="009239F7" w:rsidRPr="002F6A28" w:rsidRDefault="00DE0C7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439A" w14:textId="77777777" w:rsidR="00EE3A11" w:rsidRPr="002F6A28" w:rsidRDefault="00DE0C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DBD7" w14:textId="77777777" w:rsidR="00DE0C72" w:rsidRDefault="00DE0C72">
      <w:r>
        <w:separator/>
      </w:r>
    </w:p>
  </w:footnote>
  <w:footnote w:type="continuationSeparator" w:id="0">
    <w:p w14:paraId="4AEC1DBC" w14:textId="77777777" w:rsidR="00DE0C72" w:rsidRDefault="00DE0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811B" w14:textId="77777777" w:rsidR="009239F7" w:rsidRPr="002F6A28" w:rsidRDefault="00DE0C72" w:rsidP="009239F7">
    <w:pPr>
      <w:pStyle w:val="Header"/>
      <w:pBdr>
        <w:bottom w:val="single" w:sz="4" w:space="1" w:color="auto"/>
      </w:pBdr>
      <w:tabs>
        <w:tab w:val="clear" w:pos="4513"/>
        <w:tab w:val="clear" w:pos="9027"/>
      </w:tabs>
      <w:jc w:val="center"/>
    </w:pPr>
    <w:proofErr w:type="spellStart"/>
    <w:r w:rsidRPr="002F6A28">
      <w:t>tbtSymbol</w:t>
    </w:r>
    <w:proofErr w:type="spellEnd"/>
  </w:p>
  <w:p w14:paraId="252F9F5C" w14:textId="77777777" w:rsidR="009239F7" w:rsidRPr="002F6A28" w:rsidRDefault="009239F7" w:rsidP="009239F7">
    <w:pPr>
      <w:pStyle w:val="Header"/>
      <w:pBdr>
        <w:bottom w:val="single" w:sz="4" w:space="1" w:color="auto"/>
      </w:pBdr>
      <w:tabs>
        <w:tab w:val="clear" w:pos="4513"/>
        <w:tab w:val="clear" w:pos="9027"/>
      </w:tabs>
      <w:jc w:val="center"/>
    </w:pPr>
  </w:p>
  <w:p w14:paraId="2F0148E4" w14:textId="77777777" w:rsidR="009239F7" w:rsidRPr="002F6A28" w:rsidRDefault="00DE0C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F561C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C36D" w14:textId="77777777" w:rsidR="009239F7" w:rsidRPr="002F6A28" w:rsidRDefault="00DE0C72" w:rsidP="009239F7">
    <w:pPr>
      <w:pStyle w:val="Header"/>
      <w:pBdr>
        <w:bottom w:val="single" w:sz="4" w:space="1" w:color="auto"/>
      </w:pBdr>
      <w:tabs>
        <w:tab w:val="clear" w:pos="4513"/>
        <w:tab w:val="clear" w:pos="9027"/>
      </w:tabs>
      <w:jc w:val="center"/>
    </w:pPr>
    <w:bookmarkStart w:id="0" w:name="spsSymbolHeader"/>
    <w:r w:rsidRPr="002F6A28">
      <w:t>G/TBT/N/EU/1092</w:t>
    </w:r>
    <w:bookmarkEnd w:id="0"/>
  </w:p>
  <w:p w14:paraId="1C33F7C1" w14:textId="77777777" w:rsidR="009239F7" w:rsidRPr="002F6A28" w:rsidRDefault="009239F7" w:rsidP="009239F7">
    <w:pPr>
      <w:pStyle w:val="Header"/>
      <w:pBdr>
        <w:bottom w:val="single" w:sz="4" w:space="1" w:color="auto"/>
      </w:pBdr>
      <w:tabs>
        <w:tab w:val="clear" w:pos="4513"/>
        <w:tab w:val="clear" w:pos="9027"/>
      </w:tabs>
      <w:jc w:val="center"/>
    </w:pPr>
  </w:p>
  <w:p w14:paraId="10B461B6" w14:textId="77777777" w:rsidR="009239F7" w:rsidRPr="002F6A28" w:rsidRDefault="00DE0C7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315383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2AA3" w14:paraId="2F461992" w14:textId="77777777" w:rsidTr="008612A9">
      <w:trPr>
        <w:trHeight w:val="240"/>
        <w:jc w:val="center"/>
      </w:trPr>
      <w:tc>
        <w:tcPr>
          <w:tcW w:w="3794" w:type="dxa"/>
          <w:shd w:val="clear" w:color="auto" w:fill="FFFFFF"/>
          <w:tcMar>
            <w:left w:w="108" w:type="dxa"/>
            <w:right w:w="108" w:type="dxa"/>
          </w:tcMar>
          <w:vAlign w:val="center"/>
        </w:tcPr>
        <w:p w14:paraId="3601607D"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DDF6C2E" w14:textId="77777777" w:rsidR="00ED54E0" w:rsidRPr="009239F7" w:rsidRDefault="00ED54E0" w:rsidP="00B801E9">
          <w:pPr>
            <w:jc w:val="right"/>
            <w:rPr>
              <w:b/>
              <w:color w:val="FF0000"/>
              <w:szCs w:val="16"/>
            </w:rPr>
          </w:pPr>
        </w:p>
      </w:tc>
    </w:tr>
    <w:bookmarkEnd w:id="1"/>
    <w:tr w:rsidR="00B02AA3" w14:paraId="50306630" w14:textId="77777777" w:rsidTr="008612A9">
      <w:trPr>
        <w:trHeight w:val="213"/>
        <w:jc w:val="center"/>
      </w:trPr>
      <w:tc>
        <w:tcPr>
          <w:tcW w:w="3794" w:type="dxa"/>
          <w:vMerge w:val="restart"/>
          <w:shd w:val="clear" w:color="auto" w:fill="FFFFFF"/>
          <w:tcMar>
            <w:left w:w="0" w:type="dxa"/>
            <w:right w:w="0" w:type="dxa"/>
          </w:tcMar>
        </w:tcPr>
        <w:p w14:paraId="2F4FCF6E" w14:textId="77777777" w:rsidR="00ED54E0" w:rsidRPr="009239F7" w:rsidRDefault="00DE0C72" w:rsidP="00B801E9">
          <w:pPr>
            <w:jc w:val="left"/>
          </w:pPr>
          <w:r>
            <w:rPr>
              <w:noProof/>
              <w:lang w:eastAsia="en-GB"/>
            </w:rPr>
            <w:drawing>
              <wp:inline distT="0" distB="0" distL="0" distR="0" wp14:anchorId="262F26FD" wp14:editId="79F78B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872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D57D30" w14:textId="77777777" w:rsidR="00ED54E0" w:rsidRPr="009239F7" w:rsidRDefault="00ED54E0" w:rsidP="00B801E9">
          <w:pPr>
            <w:jc w:val="right"/>
            <w:rPr>
              <w:b/>
              <w:szCs w:val="16"/>
            </w:rPr>
          </w:pPr>
        </w:p>
      </w:tc>
    </w:tr>
    <w:tr w:rsidR="00B02AA3" w14:paraId="007112F2" w14:textId="77777777" w:rsidTr="008612A9">
      <w:trPr>
        <w:trHeight w:val="868"/>
        <w:jc w:val="center"/>
      </w:trPr>
      <w:tc>
        <w:tcPr>
          <w:tcW w:w="3794" w:type="dxa"/>
          <w:vMerge/>
          <w:shd w:val="clear" w:color="auto" w:fill="FFFFFF"/>
          <w:tcMar>
            <w:left w:w="108" w:type="dxa"/>
            <w:right w:w="108" w:type="dxa"/>
          </w:tcMar>
        </w:tcPr>
        <w:p w14:paraId="6BCD31C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9FB802D" w14:textId="77777777" w:rsidR="009239F7" w:rsidRPr="002F6A28" w:rsidRDefault="00DE0C72" w:rsidP="00B801E9">
          <w:pPr>
            <w:jc w:val="right"/>
            <w:rPr>
              <w:b/>
              <w:szCs w:val="16"/>
            </w:rPr>
          </w:pPr>
          <w:bookmarkStart w:id="2" w:name="bmkSymbols"/>
          <w:r w:rsidRPr="002F6A28">
            <w:rPr>
              <w:b/>
              <w:szCs w:val="16"/>
            </w:rPr>
            <w:t>G/TBT/N/EU/1092</w:t>
          </w:r>
          <w:bookmarkEnd w:id="2"/>
        </w:p>
      </w:tc>
    </w:tr>
    <w:tr w:rsidR="00B02AA3" w14:paraId="7BFA51D8" w14:textId="77777777" w:rsidTr="008612A9">
      <w:trPr>
        <w:trHeight w:val="240"/>
        <w:jc w:val="center"/>
      </w:trPr>
      <w:tc>
        <w:tcPr>
          <w:tcW w:w="3794" w:type="dxa"/>
          <w:vMerge/>
          <w:shd w:val="clear" w:color="auto" w:fill="FFFFFF"/>
          <w:tcMar>
            <w:left w:w="108" w:type="dxa"/>
            <w:right w:w="108" w:type="dxa"/>
          </w:tcMar>
          <w:vAlign w:val="center"/>
        </w:tcPr>
        <w:p w14:paraId="0CF0842A" w14:textId="77777777" w:rsidR="00ED54E0" w:rsidRPr="009239F7" w:rsidRDefault="00ED54E0" w:rsidP="00B801E9"/>
      </w:tc>
      <w:tc>
        <w:tcPr>
          <w:tcW w:w="5448" w:type="dxa"/>
          <w:gridSpan w:val="2"/>
          <w:shd w:val="clear" w:color="auto" w:fill="FFFFFF"/>
          <w:tcMar>
            <w:left w:w="108" w:type="dxa"/>
            <w:right w:w="108" w:type="dxa"/>
          </w:tcMar>
          <w:vAlign w:val="center"/>
        </w:tcPr>
        <w:p w14:paraId="020B0638" w14:textId="5474160B" w:rsidR="00ED54E0" w:rsidRPr="009239F7" w:rsidRDefault="00DE0C72" w:rsidP="00B801E9">
          <w:pPr>
            <w:jc w:val="right"/>
            <w:rPr>
              <w:szCs w:val="16"/>
            </w:rPr>
          </w:pPr>
          <w:bookmarkStart w:id="3" w:name="spsDateDistribution"/>
          <w:bookmarkStart w:id="4" w:name="bmkDate"/>
          <w:bookmarkEnd w:id="3"/>
          <w:bookmarkEnd w:id="4"/>
          <w:r>
            <w:rPr>
              <w:szCs w:val="16"/>
            </w:rPr>
            <w:t>29 October 2024</w:t>
          </w:r>
        </w:p>
      </w:tc>
    </w:tr>
    <w:tr w:rsidR="00B02AA3" w14:paraId="017ED97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22B635" w14:textId="7F0FCED3" w:rsidR="00ED54E0" w:rsidRPr="009239F7" w:rsidRDefault="00DE0C72"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47A1B">
            <w:rPr>
              <w:color w:val="FF0000"/>
              <w:szCs w:val="16"/>
            </w:rPr>
            <w:t>7630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7B4E340" w14:textId="77777777" w:rsidR="00ED54E0" w:rsidRPr="009239F7" w:rsidRDefault="00DE0C7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02AA3" w14:paraId="5ECDB00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6A053E" w14:textId="77777777" w:rsidR="00ED54E0" w:rsidRPr="009239F7" w:rsidRDefault="00DE0C7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0581941" w14:textId="77777777" w:rsidR="00ED54E0" w:rsidRPr="002F6A28" w:rsidRDefault="00DE0C7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3E7A99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DA0826">
      <w:start w:val="1"/>
      <w:numFmt w:val="decimal"/>
      <w:pStyle w:val="SummaryText"/>
      <w:lvlText w:val="%1."/>
      <w:lvlJc w:val="left"/>
      <w:pPr>
        <w:ind w:left="360" w:hanging="360"/>
      </w:pPr>
    </w:lvl>
    <w:lvl w:ilvl="1" w:tplc="D6EA5ED2" w:tentative="1">
      <w:start w:val="1"/>
      <w:numFmt w:val="lowerLetter"/>
      <w:lvlText w:val="%2."/>
      <w:lvlJc w:val="left"/>
      <w:pPr>
        <w:ind w:left="1080" w:hanging="360"/>
      </w:pPr>
    </w:lvl>
    <w:lvl w:ilvl="2" w:tplc="2140195C" w:tentative="1">
      <w:start w:val="1"/>
      <w:numFmt w:val="lowerRoman"/>
      <w:lvlText w:val="%3."/>
      <w:lvlJc w:val="right"/>
      <w:pPr>
        <w:ind w:left="1800" w:hanging="180"/>
      </w:pPr>
    </w:lvl>
    <w:lvl w:ilvl="3" w:tplc="4D90208C" w:tentative="1">
      <w:start w:val="1"/>
      <w:numFmt w:val="decimal"/>
      <w:lvlText w:val="%4."/>
      <w:lvlJc w:val="left"/>
      <w:pPr>
        <w:ind w:left="2520" w:hanging="360"/>
      </w:pPr>
    </w:lvl>
    <w:lvl w:ilvl="4" w:tplc="1FAA3626" w:tentative="1">
      <w:start w:val="1"/>
      <w:numFmt w:val="lowerLetter"/>
      <w:lvlText w:val="%5."/>
      <w:lvlJc w:val="left"/>
      <w:pPr>
        <w:ind w:left="3240" w:hanging="360"/>
      </w:pPr>
    </w:lvl>
    <w:lvl w:ilvl="5" w:tplc="DFD69508" w:tentative="1">
      <w:start w:val="1"/>
      <w:numFmt w:val="lowerRoman"/>
      <w:lvlText w:val="%6."/>
      <w:lvlJc w:val="right"/>
      <w:pPr>
        <w:ind w:left="3960" w:hanging="180"/>
      </w:pPr>
    </w:lvl>
    <w:lvl w:ilvl="6" w:tplc="FDFC3558" w:tentative="1">
      <w:start w:val="1"/>
      <w:numFmt w:val="decimal"/>
      <w:lvlText w:val="%7."/>
      <w:lvlJc w:val="left"/>
      <w:pPr>
        <w:ind w:left="4680" w:hanging="360"/>
      </w:pPr>
    </w:lvl>
    <w:lvl w:ilvl="7" w:tplc="C214F9CE" w:tentative="1">
      <w:start w:val="1"/>
      <w:numFmt w:val="lowerLetter"/>
      <w:lvlText w:val="%8."/>
      <w:lvlJc w:val="left"/>
      <w:pPr>
        <w:ind w:left="5400" w:hanging="360"/>
      </w:pPr>
    </w:lvl>
    <w:lvl w:ilvl="8" w:tplc="0A3E4E36" w:tentative="1">
      <w:start w:val="1"/>
      <w:numFmt w:val="lowerRoman"/>
      <w:lvlText w:val="%9."/>
      <w:lvlJc w:val="right"/>
      <w:pPr>
        <w:ind w:left="6120" w:hanging="180"/>
      </w:pPr>
    </w:lvl>
  </w:abstractNum>
  <w:num w:numId="1" w16cid:durableId="253829489">
    <w:abstractNumId w:val="9"/>
  </w:num>
  <w:num w:numId="2" w16cid:durableId="924218263">
    <w:abstractNumId w:val="7"/>
  </w:num>
  <w:num w:numId="3" w16cid:durableId="1590041060">
    <w:abstractNumId w:val="6"/>
  </w:num>
  <w:num w:numId="4" w16cid:durableId="1064182735">
    <w:abstractNumId w:val="5"/>
  </w:num>
  <w:num w:numId="5" w16cid:durableId="1305309224">
    <w:abstractNumId w:val="4"/>
  </w:num>
  <w:num w:numId="6" w16cid:durableId="1183473250">
    <w:abstractNumId w:val="12"/>
  </w:num>
  <w:num w:numId="7" w16cid:durableId="406732192">
    <w:abstractNumId w:val="11"/>
  </w:num>
  <w:num w:numId="8" w16cid:durableId="1397047185">
    <w:abstractNumId w:val="10"/>
  </w:num>
  <w:num w:numId="9" w16cid:durableId="402341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081281">
    <w:abstractNumId w:val="13"/>
  </w:num>
  <w:num w:numId="11" w16cid:durableId="1085149378">
    <w:abstractNumId w:val="8"/>
  </w:num>
  <w:num w:numId="12" w16cid:durableId="823666039">
    <w:abstractNumId w:val="3"/>
  </w:num>
  <w:num w:numId="13" w16cid:durableId="1059017092">
    <w:abstractNumId w:val="2"/>
  </w:num>
  <w:num w:numId="14" w16cid:durableId="29230800">
    <w:abstractNumId w:val="1"/>
  </w:num>
  <w:num w:numId="15" w16cid:durableId="130593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318C"/>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47A1B"/>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3407"/>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2AA3"/>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0C72"/>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EEC/24_07370_01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EEC/24_07370_00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growth/tools-databases/tbt/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ur-lex.europa.eu/LexUriServ/LexUriServ.do?uri=OJ:L:2009:285:0010:0035:en: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eur-lex.europa.eu/LexUriServ/LexUriServ.do?uri=CELEX:32005L0032:EN:NO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FB4B3B0D-9CA7-4BDC-9FBB-5577686690C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1150</Words>
  <Characters>6712</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2024-10-29T09:59:00Z</dcterms:created>
  <dcterms:modified xsi:type="dcterms:W3CDTF">2024-10-29T10:42:00Z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