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0BA8" w14:textId="77777777" w:rsidR="009239F7" w:rsidRPr="002F6A28" w:rsidRDefault="00DC6C2F" w:rsidP="002F6A28">
      <w:pPr>
        <w:pStyle w:val="Title"/>
        <w:rPr>
          <w:caps w:val="0"/>
          <w:kern w:val="0"/>
        </w:rPr>
      </w:pPr>
      <w:r w:rsidRPr="002F6A28">
        <w:rPr>
          <w:caps w:val="0"/>
          <w:kern w:val="0"/>
        </w:rPr>
        <w:t>NOTIFICATION</w:t>
      </w:r>
    </w:p>
    <w:p w14:paraId="619CF6CF" w14:textId="77777777" w:rsidR="009239F7" w:rsidRPr="002F6A28" w:rsidRDefault="00DC6C2F" w:rsidP="002F6A28">
      <w:pPr>
        <w:jc w:val="center"/>
      </w:pPr>
      <w:r w:rsidRPr="002F6A28">
        <w:t>The following notification is being circulated in accordance with Article 10.6</w:t>
      </w:r>
    </w:p>
    <w:p w14:paraId="5DB547A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A2B12" w14:paraId="5051A042" w14:textId="77777777" w:rsidTr="0069259F">
        <w:tc>
          <w:tcPr>
            <w:tcW w:w="713" w:type="dxa"/>
            <w:tcBorders>
              <w:bottom w:val="single" w:sz="6" w:space="0" w:color="auto"/>
            </w:tcBorders>
            <w:shd w:val="clear" w:color="auto" w:fill="auto"/>
          </w:tcPr>
          <w:p w14:paraId="0E8BA7F2" w14:textId="77777777" w:rsidR="00F85C99" w:rsidRPr="002F6A28" w:rsidRDefault="00DC6C2F" w:rsidP="002F6A28">
            <w:pPr>
              <w:spacing w:before="120" w:after="120"/>
              <w:jc w:val="left"/>
            </w:pPr>
            <w:r w:rsidRPr="002F6A28">
              <w:rPr>
                <w:b/>
              </w:rPr>
              <w:t>1.</w:t>
            </w:r>
          </w:p>
        </w:tc>
        <w:tc>
          <w:tcPr>
            <w:tcW w:w="8546" w:type="dxa"/>
            <w:tcBorders>
              <w:bottom w:val="single" w:sz="6" w:space="0" w:color="auto"/>
            </w:tcBorders>
            <w:shd w:val="clear" w:color="auto" w:fill="auto"/>
          </w:tcPr>
          <w:p w14:paraId="1EB69834" w14:textId="77777777" w:rsidR="00F85C99" w:rsidRPr="002F6A28" w:rsidRDefault="00DC6C2F" w:rsidP="00C805B6">
            <w:pPr>
              <w:spacing w:before="120" w:after="120"/>
            </w:pPr>
            <w:r w:rsidRPr="002F6A28">
              <w:rPr>
                <w:b/>
              </w:rPr>
              <w:t>Notifying Member:</w:t>
            </w:r>
            <w:r w:rsidR="00EE3A11" w:rsidRPr="00C92678">
              <w:t xml:space="preserve"> </w:t>
            </w:r>
            <w:r w:rsidR="00EE3A11" w:rsidRPr="00C92678">
              <w:rPr>
                <w:u w:val="single"/>
              </w:rPr>
              <w:t>EUROPEAN UNION</w:t>
            </w:r>
          </w:p>
          <w:p w14:paraId="5DF9B996" w14:textId="77777777" w:rsidR="00F85C99" w:rsidRPr="002F6A28" w:rsidRDefault="00DC6C2F" w:rsidP="002F6A28">
            <w:pPr>
              <w:spacing w:after="120"/>
            </w:pPr>
            <w:r w:rsidRPr="002F6A28">
              <w:rPr>
                <w:b/>
              </w:rPr>
              <w:t>If applicable, name of local government involved (Article 3.2 and 7.2):</w:t>
            </w:r>
            <w:r w:rsidR="00EE3A11" w:rsidRPr="00C379C8">
              <w:t xml:space="preserve"> </w:t>
            </w:r>
          </w:p>
        </w:tc>
      </w:tr>
      <w:tr w:rsidR="00FA2B12" w14:paraId="38D5855C" w14:textId="77777777" w:rsidTr="0069259F">
        <w:tc>
          <w:tcPr>
            <w:tcW w:w="713" w:type="dxa"/>
            <w:tcBorders>
              <w:top w:val="single" w:sz="6" w:space="0" w:color="auto"/>
              <w:bottom w:val="single" w:sz="6" w:space="0" w:color="auto"/>
            </w:tcBorders>
            <w:shd w:val="clear" w:color="auto" w:fill="auto"/>
          </w:tcPr>
          <w:p w14:paraId="667DEBFA" w14:textId="77777777" w:rsidR="00F85C99" w:rsidRPr="002F6A28" w:rsidRDefault="00DC6C2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D2B429" w14:textId="77777777" w:rsidR="00F85C99" w:rsidRPr="002F6A28" w:rsidRDefault="00DC6C2F" w:rsidP="00155128">
            <w:pPr>
              <w:spacing w:before="120" w:after="120"/>
            </w:pPr>
            <w:r w:rsidRPr="002F6A28">
              <w:rPr>
                <w:b/>
              </w:rPr>
              <w:t>Agency responsible:</w:t>
            </w:r>
            <w:r w:rsidR="00EE3A11" w:rsidRPr="00C379C8">
              <w:t xml:space="preserve"> </w:t>
            </w:r>
          </w:p>
          <w:p w14:paraId="3956304F" w14:textId="77777777" w:rsidR="00EE3A11" w:rsidRPr="00C379C8" w:rsidRDefault="00DC6C2F" w:rsidP="00155128">
            <w:pPr>
              <w:spacing w:after="120"/>
            </w:pPr>
            <w:r w:rsidRPr="00C379C8">
              <w:t>European Commission</w:t>
            </w:r>
          </w:p>
          <w:p w14:paraId="3A880F01" w14:textId="77777777" w:rsidR="00F85C99" w:rsidRPr="002F6A28" w:rsidRDefault="00DC6C2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0B47E12" w14:textId="77777777" w:rsidR="00AC6C6E" w:rsidRPr="00C379C8" w:rsidRDefault="00DC6C2F" w:rsidP="00AA646C">
            <w:r w:rsidRPr="00C379C8">
              <w:t>European Commission,</w:t>
            </w:r>
          </w:p>
          <w:p w14:paraId="775530CF" w14:textId="77777777" w:rsidR="00AC6C6E" w:rsidRPr="00C379C8" w:rsidRDefault="00DC6C2F" w:rsidP="00AA646C">
            <w:r w:rsidRPr="00C379C8">
              <w:t>EU-TBT Enquiry Point,</w:t>
            </w:r>
          </w:p>
          <w:p w14:paraId="1A3E5EDA" w14:textId="77777777" w:rsidR="00AC6C6E" w:rsidRPr="00C379C8" w:rsidRDefault="00DC6C2F" w:rsidP="00AA646C">
            <w:r w:rsidRPr="00C379C8">
              <w:t>Fax: +(32) 2 299 80 43,</w:t>
            </w:r>
          </w:p>
          <w:p w14:paraId="65C9892A" w14:textId="77777777" w:rsidR="00AC6C6E" w:rsidRPr="00C379C8" w:rsidRDefault="00DC6C2F" w:rsidP="00AA646C">
            <w:r w:rsidRPr="00C379C8">
              <w:t xml:space="preserve">E-mail: </w:t>
            </w:r>
            <w:hyperlink r:id="rId9" w:history="1">
              <w:r w:rsidRPr="00C379C8">
                <w:rPr>
                  <w:color w:val="0000FF"/>
                  <w:u w:val="single"/>
                </w:rPr>
                <w:t>grow-eu-tbt@ec.europa.eu</w:t>
              </w:r>
            </w:hyperlink>
          </w:p>
          <w:p w14:paraId="7FA00465" w14:textId="77777777" w:rsidR="00AC6C6E" w:rsidRPr="00C379C8" w:rsidRDefault="00DC6C2F" w:rsidP="00AA646C">
            <w:pPr>
              <w:spacing w:after="120"/>
            </w:pPr>
            <w:r w:rsidRPr="00C379C8">
              <w:t xml:space="preserve">Website: </w:t>
            </w:r>
            <w:hyperlink r:id="rId10" w:tgtFrame="_blank" w:history="1">
              <w:r w:rsidRPr="00C379C8">
                <w:rPr>
                  <w:color w:val="0000FF"/>
                  <w:u w:val="single"/>
                </w:rPr>
                <w:t>http://ec.europa.eu/growth/tools-databases/tbt/en/</w:t>
              </w:r>
            </w:hyperlink>
          </w:p>
        </w:tc>
      </w:tr>
      <w:tr w:rsidR="00FA2B12" w14:paraId="55803084" w14:textId="77777777" w:rsidTr="0069259F">
        <w:tc>
          <w:tcPr>
            <w:tcW w:w="713" w:type="dxa"/>
            <w:tcBorders>
              <w:top w:val="single" w:sz="6" w:space="0" w:color="auto"/>
              <w:bottom w:val="single" w:sz="6" w:space="0" w:color="auto"/>
            </w:tcBorders>
            <w:shd w:val="clear" w:color="auto" w:fill="auto"/>
          </w:tcPr>
          <w:p w14:paraId="7269FF33" w14:textId="77777777" w:rsidR="00F85C99" w:rsidRPr="002F6A28" w:rsidRDefault="00DC6C2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702D21" w14:textId="77777777" w:rsidR="00F85C99" w:rsidRPr="0058336F" w:rsidRDefault="00DC6C2F"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A2B12" w14:paraId="6BB0735F" w14:textId="77777777" w:rsidTr="0069259F">
        <w:tc>
          <w:tcPr>
            <w:tcW w:w="713" w:type="dxa"/>
            <w:tcBorders>
              <w:top w:val="single" w:sz="6" w:space="0" w:color="auto"/>
              <w:bottom w:val="single" w:sz="6" w:space="0" w:color="auto"/>
            </w:tcBorders>
            <w:shd w:val="clear" w:color="auto" w:fill="auto"/>
          </w:tcPr>
          <w:p w14:paraId="31D21684" w14:textId="77777777" w:rsidR="00F85C99" w:rsidRPr="002F6A28" w:rsidRDefault="00DC6C2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B68245" w14:textId="77777777" w:rsidR="00F85C99" w:rsidRPr="002F6A28" w:rsidRDefault="00DC6C2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t>
            </w:r>
            <w:r w:rsidR="00EE3A11" w:rsidRPr="00C379C8">
              <w:rPr>
                <w:i/>
                <w:iCs/>
              </w:rPr>
              <w:t>In vitro</w:t>
            </w:r>
            <w:r w:rsidR="00EE3A11" w:rsidRPr="00C379C8">
              <w:t xml:space="preserve"> diagnostic medical devices</w:t>
            </w:r>
          </w:p>
        </w:tc>
      </w:tr>
      <w:tr w:rsidR="00FA2B12" w14:paraId="360ED8FE" w14:textId="77777777" w:rsidTr="0069259F">
        <w:tc>
          <w:tcPr>
            <w:tcW w:w="713" w:type="dxa"/>
            <w:tcBorders>
              <w:top w:val="single" w:sz="6" w:space="0" w:color="auto"/>
              <w:bottom w:val="single" w:sz="6" w:space="0" w:color="auto"/>
            </w:tcBorders>
            <w:shd w:val="clear" w:color="auto" w:fill="auto"/>
          </w:tcPr>
          <w:p w14:paraId="6B46E956" w14:textId="77777777" w:rsidR="00F85C99" w:rsidRPr="002F6A28" w:rsidRDefault="00DC6C2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A7282C1" w14:textId="77777777" w:rsidR="00F85C99" w:rsidRPr="002F6A28" w:rsidRDefault="00DC6C2F" w:rsidP="002F6A28">
            <w:pPr>
              <w:spacing w:before="120" w:after="120"/>
            </w:pPr>
            <w:r w:rsidRPr="002F6A28">
              <w:rPr>
                <w:b/>
              </w:rPr>
              <w:t>Title, number of pages and language(s) of the notified document:</w:t>
            </w:r>
            <w:r w:rsidR="00EE3A11" w:rsidRPr="00C379C8">
              <w:t xml:space="preserve"> Draft Commission Implementing Regulation amending Implementing Regulation (EU) 2022/1107 laying down common specifications for certain class D in vitro diagnostic medical devices in accordance with Regulation (EU) 2017/746 of the European Parliament and of the Council; (4 page(s), in English), (41 page(s), in English)</w:t>
            </w:r>
          </w:p>
        </w:tc>
      </w:tr>
      <w:tr w:rsidR="00FA2B12" w14:paraId="4F87F200" w14:textId="77777777" w:rsidTr="0069259F">
        <w:tc>
          <w:tcPr>
            <w:tcW w:w="713" w:type="dxa"/>
            <w:tcBorders>
              <w:top w:val="single" w:sz="6" w:space="0" w:color="auto"/>
              <w:bottom w:val="single" w:sz="6" w:space="0" w:color="auto"/>
            </w:tcBorders>
            <w:shd w:val="clear" w:color="auto" w:fill="auto"/>
          </w:tcPr>
          <w:p w14:paraId="72A7488F" w14:textId="77777777" w:rsidR="00F85C99" w:rsidRPr="002F6A28" w:rsidRDefault="00DC6C2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97904F" w14:textId="77777777" w:rsidR="00F85C99" w:rsidRPr="002F6A28" w:rsidRDefault="00DC6C2F" w:rsidP="002F6A28">
            <w:pPr>
              <w:spacing w:before="120" w:after="120"/>
              <w:rPr>
                <w:b/>
              </w:rPr>
            </w:pPr>
            <w:r w:rsidRPr="002F6A28">
              <w:rPr>
                <w:b/>
              </w:rPr>
              <w:t>Description of content:</w:t>
            </w:r>
            <w:r w:rsidR="00FE448B" w:rsidRPr="00C379C8">
              <w:t xml:space="preserve"> This draft Commission Implementing Regulation adds common specifications for some high-risk </w:t>
            </w:r>
            <w:r w:rsidR="00FE448B" w:rsidRPr="00C379C8">
              <w:rPr>
                <w:i/>
                <w:iCs/>
              </w:rPr>
              <w:t>in vitro</w:t>
            </w:r>
            <w:r w:rsidR="00FE448B" w:rsidRPr="00C379C8">
              <w:t xml:space="preserve"> diagnostic medical devices in accordance with Art. 9 of Regulation (EU) 2017/746, notably in relation to their performance evaluation. It also makes a number of editorial corrections to existing specifications.</w:t>
            </w:r>
          </w:p>
        </w:tc>
      </w:tr>
      <w:tr w:rsidR="00FA2B12" w14:paraId="6A8397C1" w14:textId="77777777" w:rsidTr="0069259F">
        <w:tc>
          <w:tcPr>
            <w:tcW w:w="713" w:type="dxa"/>
            <w:tcBorders>
              <w:top w:val="single" w:sz="6" w:space="0" w:color="auto"/>
              <w:bottom w:val="single" w:sz="6" w:space="0" w:color="auto"/>
            </w:tcBorders>
            <w:shd w:val="clear" w:color="auto" w:fill="auto"/>
          </w:tcPr>
          <w:p w14:paraId="2D5BD8E5" w14:textId="77777777" w:rsidR="00F85C99" w:rsidRPr="002F6A28" w:rsidRDefault="00DC6C2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79C9C70" w14:textId="77777777" w:rsidR="00F85C99" w:rsidRPr="002F6A28" w:rsidRDefault="00DC6C2F" w:rsidP="002F6A28">
            <w:pPr>
              <w:spacing w:before="120" w:after="120"/>
              <w:rPr>
                <w:b/>
              </w:rPr>
            </w:pPr>
            <w:r w:rsidRPr="002F6A28">
              <w:rPr>
                <w:b/>
              </w:rPr>
              <w:t>Objective and rationale, including the nature of urgent problems where applicable:</w:t>
            </w:r>
            <w:r w:rsidR="00EE3A11" w:rsidRPr="00C379C8">
              <w:t xml:space="preserve"> Where no harmonised standards exist or where relevant harmonised standards are not sufficient, or where there is a need to address public health concerns, Article 9 of Regulation (EU) 2017/746 on </w:t>
            </w:r>
            <w:r w:rsidR="00EE3A11" w:rsidRPr="00C379C8">
              <w:rPr>
                <w:i/>
                <w:iCs/>
              </w:rPr>
              <w:t>in vitro</w:t>
            </w:r>
            <w:r w:rsidR="00EE3A11" w:rsidRPr="00C379C8">
              <w:t xml:space="preserve"> diagnostic medical devices gives the Commission the possibility to adopt common specifications in respect of certain requirements of the said Regulation.</w:t>
            </w:r>
          </w:p>
          <w:p w14:paraId="0E2A46F6" w14:textId="77777777" w:rsidR="00EE3A11" w:rsidRPr="00C379C8" w:rsidRDefault="00DC6C2F" w:rsidP="002F6A28">
            <w:pPr>
              <w:spacing w:before="120" w:after="120"/>
            </w:pPr>
            <w:r w:rsidRPr="00C379C8">
              <w:t>Based on that legal basis, Commission Implementing Regulation (EU) 2022/1107 sets out common specifications for 16 types of high-risk (class D) devices with regard to general safety and performance requirements, performance evaluation, post-market performance follow-up and performance studies.</w:t>
            </w:r>
          </w:p>
          <w:p w14:paraId="06F10FC8" w14:textId="77777777" w:rsidR="00EE3A11" w:rsidRPr="00C379C8" w:rsidRDefault="00DC6C2F" w:rsidP="002F6A28">
            <w:pPr>
              <w:spacing w:before="120" w:after="120"/>
            </w:pPr>
            <w:r w:rsidRPr="00C379C8">
              <w:lastRenderedPageBreak/>
              <w:t xml:space="preserve">The present implementing act amends Commission Implementing Regulation (EU) 2022/1107 to add common specifications for other types of class D devices, namely those detecting the following pathogens: hepatitis E virus, </w:t>
            </w:r>
            <w:r w:rsidRPr="00C379C8">
              <w:rPr>
                <w:i/>
                <w:iCs/>
              </w:rPr>
              <w:t>Toxoplasma gondii</w:t>
            </w:r>
            <w:r w:rsidRPr="00C379C8">
              <w:t xml:space="preserve">, </w:t>
            </w:r>
            <w:r w:rsidRPr="00C379C8">
              <w:rPr>
                <w:i/>
                <w:iCs/>
              </w:rPr>
              <w:t>Plasmodium</w:t>
            </w:r>
            <w:r w:rsidRPr="00C379C8">
              <w:t xml:space="preserve"> (malaria) and four types of arboviruses – dengue, Chikungunya, West Nile and Zika viruses. These devices are considered as high risk and classified in class D when they are intended by the manufacturer to be used in transfusion of blood, transplantation of tissues or organs, or for cell administration. These specifications are not covered by existing harmonised standards and are also needed to address public health concerns about safety of blood, tissues, organs or cells for potential recipients. Some corrections are also made to the existing specifications based on the experience with their use or to reflect the state of the art.</w:t>
            </w:r>
          </w:p>
          <w:p w14:paraId="68F718E9" w14:textId="77777777" w:rsidR="00EE3A11" w:rsidRPr="00C379C8" w:rsidRDefault="00DC6C2F" w:rsidP="002F6A28">
            <w:pPr>
              <w:spacing w:before="120" w:after="120"/>
            </w:pPr>
            <w:r w:rsidRPr="00C379C8">
              <w:t>The common specifications provide a presumption of conformity with the corresponding legal requirements of Regulation (EU) 2017/746. Therefore they will greatly facilitate the work of the manufacturer in complying with the legislation, the assessment by the notified bodies, testing by EU reference laboratories and oversight by the national competent authorities. Moreover, they will facilitate a harmonised approach to conformity assessment of these devices across the Union and the achievement of consistently high standards of device performance; Protection of human health or safety; Harmonization</w:t>
            </w:r>
          </w:p>
        </w:tc>
      </w:tr>
      <w:tr w:rsidR="00FA2B12" w14:paraId="7E6D8795" w14:textId="77777777" w:rsidTr="0069259F">
        <w:tc>
          <w:tcPr>
            <w:tcW w:w="713" w:type="dxa"/>
            <w:tcBorders>
              <w:top w:val="single" w:sz="6" w:space="0" w:color="auto"/>
              <w:bottom w:val="single" w:sz="6" w:space="0" w:color="auto"/>
            </w:tcBorders>
            <w:shd w:val="clear" w:color="auto" w:fill="auto"/>
          </w:tcPr>
          <w:p w14:paraId="5561C3A5" w14:textId="77777777" w:rsidR="00F85C99" w:rsidRPr="002F6A28" w:rsidRDefault="00DC6C2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29B6670" w14:textId="77777777" w:rsidR="00086AF5" w:rsidRPr="00086AF5" w:rsidRDefault="00DC6C2F" w:rsidP="007F13E8">
            <w:pPr>
              <w:spacing w:before="120" w:after="120"/>
              <w:rPr>
                <w:bCs/>
              </w:rPr>
            </w:pPr>
            <w:r w:rsidRPr="002F6A28">
              <w:rPr>
                <w:b/>
              </w:rPr>
              <w:t>Relevant documents:</w:t>
            </w:r>
            <w:r w:rsidR="00EE3A11" w:rsidRPr="002F6A28">
              <w:t xml:space="preserve"> </w:t>
            </w:r>
          </w:p>
          <w:p w14:paraId="3EB593D4" w14:textId="77777777" w:rsidR="00EE3A11" w:rsidRPr="002F6A28" w:rsidRDefault="00DC6C2F" w:rsidP="007F13E8">
            <w:pPr>
              <w:spacing w:before="120" w:after="120"/>
            </w:pPr>
            <w:r w:rsidRPr="002F6A28">
              <w:t>Commission Implementing Regulation (EU) 2022/1107 of 4 July 2022 laying down common specifications for certain class D in vitro diagnostic medical devices in accordance with Regulation (EU) 2017/746 of the European Parliament and of the Council, OJ L 178, 5.7.2022, p. 3:</w:t>
            </w:r>
          </w:p>
          <w:p w14:paraId="56F50E3F" w14:textId="77777777" w:rsidR="00EE3A11" w:rsidRPr="002F6A28" w:rsidRDefault="009E6CFB" w:rsidP="007F13E8">
            <w:pPr>
              <w:spacing w:before="120" w:after="120"/>
            </w:pPr>
            <w:hyperlink r:id="rId11" w:history="1">
              <w:r w:rsidR="00DC6C2F" w:rsidRPr="002F6A28">
                <w:rPr>
                  <w:color w:val="0000FF"/>
                  <w:u w:val="single"/>
                </w:rPr>
                <w:t>EUR-Lex - 32022R1107 - EN - EUR-Lex (europa.eu)</w:t>
              </w:r>
            </w:hyperlink>
          </w:p>
          <w:p w14:paraId="123065C0" w14:textId="77777777" w:rsidR="00EE3A11" w:rsidRPr="002F6A28" w:rsidRDefault="00DC6C2F" w:rsidP="007F13E8">
            <w:pPr>
              <w:spacing w:before="120" w:after="120"/>
            </w:pPr>
            <w:r w:rsidRPr="002F6A28">
              <w:t>Regulation (EU) 2017/746 of the European Parliament and of the Council of 5 April 2017 on in vitro diagnostic medical devices and repealing Directive 98/79/EC and Commission Decision 2010/227/EU, OJ L 117, 5.5.2017, p. 176:</w:t>
            </w:r>
          </w:p>
          <w:p w14:paraId="65BC2893" w14:textId="77777777" w:rsidR="00EE3A11" w:rsidRPr="002F6A28" w:rsidRDefault="009E6CFB" w:rsidP="007F13E8">
            <w:pPr>
              <w:spacing w:before="120" w:after="120"/>
            </w:pPr>
            <w:hyperlink r:id="rId12" w:history="1">
              <w:r w:rsidR="00DC6C2F" w:rsidRPr="002F6A28">
                <w:rPr>
                  <w:color w:val="0000FF"/>
                  <w:u w:val="single"/>
                </w:rPr>
                <w:t>EUR-Lex - 32017R0746 - EN - EUR-Lex (europa.eu)</w:t>
              </w:r>
            </w:hyperlink>
          </w:p>
        </w:tc>
      </w:tr>
      <w:tr w:rsidR="00FA2B12" w14:paraId="5E7A4EA6" w14:textId="77777777" w:rsidTr="00AE6CC8">
        <w:trPr>
          <w:cantSplit/>
        </w:trPr>
        <w:tc>
          <w:tcPr>
            <w:tcW w:w="713" w:type="dxa"/>
            <w:tcBorders>
              <w:top w:val="single" w:sz="6" w:space="0" w:color="auto"/>
              <w:bottom w:val="single" w:sz="6" w:space="0" w:color="auto"/>
            </w:tcBorders>
            <w:shd w:val="clear" w:color="auto" w:fill="auto"/>
          </w:tcPr>
          <w:p w14:paraId="4AF76CD1" w14:textId="77777777" w:rsidR="00EE3A11" w:rsidRPr="002F6A28" w:rsidRDefault="00DC6C2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1167A5A" w14:textId="77777777" w:rsidR="00EE3A11" w:rsidRPr="002F6A28" w:rsidRDefault="00DC6C2F" w:rsidP="008953C4">
            <w:pPr>
              <w:spacing w:before="120" w:after="120"/>
            </w:pPr>
            <w:r w:rsidRPr="002F6A28">
              <w:rPr>
                <w:b/>
              </w:rPr>
              <w:t>Proposed date of adoption:</w:t>
            </w:r>
            <w:r w:rsidRPr="00C379C8">
              <w:t xml:space="preserve"> 4th Quarter 2024</w:t>
            </w:r>
          </w:p>
          <w:p w14:paraId="26607BCE" w14:textId="77777777" w:rsidR="00EE3A11" w:rsidRPr="002F6A28" w:rsidRDefault="00DC6C2F" w:rsidP="008953C4">
            <w:pPr>
              <w:spacing w:after="120"/>
            </w:pPr>
            <w:r w:rsidRPr="002F6A28">
              <w:rPr>
                <w:b/>
              </w:rPr>
              <w:t>Proposed date of entry into force:</w:t>
            </w:r>
            <w:r w:rsidRPr="00C379C8">
              <w:t xml:space="preserve"> 20 days from publication in the Official Journal of the EU. There is a transition period of 2 years following entry into force of the regulation.</w:t>
            </w:r>
          </w:p>
        </w:tc>
      </w:tr>
      <w:tr w:rsidR="00FA2B12" w14:paraId="1196C642" w14:textId="77777777" w:rsidTr="0069259F">
        <w:tc>
          <w:tcPr>
            <w:tcW w:w="713" w:type="dxa"/>
            <w:tcBorders>
              <w:top w:val="single" w:sz="6" w:space="0" w:color="auto"/>
              <w:bottom w:val="single" w:sz="6" w:space="0" w:color="auto"/>
            </w:tcBorders>
            <w:shd w:val="clear" w:color="auto" w:fill="auto"/>
          </w:tcPr>
          <w:p w14:paraId="152814B8" w14:textId="77777777" w:rsidR="00F85C99" w:rsidRPr="002F6A28" w:rsidRDefault="00DC6C2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AF853A" w14:textId="77777777" w:rsidR="00F85C99" w:rsidRPr="002F6A28" w:rsidRDefault="00DC6C2F" w:rsidP="002F6A28">
            <w:pPr>
              <w:spacing w:before="120" w:after="120"/>
            </w:pPr>
            <w:r w:rsidRPr="002F6A28">
              <w:rPr>
                <w:b/>
              </w:rPr>
              <w:t>Final date for comments:</w:t>
            </w:r>
            <w:r w:rsidR="00EE3A11" w:rsidRPr="00C379C8">
              <w:t xml:space="preserve"> 60 days from notification</w:t>
            </w:r>
          </w:p>
        </w:tc>
      </w:tr>
      <w:tr w:rsidR="00FA2B12" w14:paraId="1A9C5E98" w14:textId="77777777" w:rsidTr="0069259F">
        <w:tc>
          <w:tcPr>
            <w:tcW w:w="713" w:type="dxa"/>
            <w:tcBorders>
              <w:top w:val="single" w:sz="6" w:space="0" w:color="auto"/>
            </w:tcBorders>
            <w:shd w:val="clear" w:color="auto" w:fill="auto"/>
          </w:tcPr>
          <w:p w14:paraId="604090B1" w14:textId="77777777" w:rsidR="00F85C99" w:rsidRPr="002F6A28" w:rsidRDefault="00DC6C2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7FBB16A" w14:textId="77777777" w:rsidR="00F85C99" w:rsidRPr="002F6A28" w:rsidRDefault="00DC6C2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DD2048C" w14:textId="77777777" w:rsidR="00EE3A11" w:rsidRPr="00A12DDE" w:rsidRDefault="00DC6C2F" w:rsidP="00B16145">
            <w:pPr>
              <w:keepNext/>
              <w:keepLines/>
              <w:rPr>
                <w:bCs/>
              </w:rPr>
            </w:pPr>
            <w:r w:rsidRPr="00A12DDE">
              <w:rPr>
                <w:bCs/>
              </w:rPr>
              <w:t>European Commission,</w:t>
            </w:r>
          </w:p>
          <w:p w14:paraId="7D057547" w14:textId="77777777" w:rsidR="00EE3A11" w:rsidRPr="00A12DDE" w:rsidRDefault="00DC6C2F" w:rsidP="00B16145">
            <w:pPr>
              <w:keepNext/>
              <w:keepLines/>
              <w:rPr>
                <w:bCs/>
              </w:rPr>
            </w:pPr>
            <w:r w:rsidRPr="00A12DDE">
              <w:rPr>
                <w:bCs/>
              </w:rPr>
              <w:t>EU-TBT Enquiry Point,</w:t>
            </w:r>
          </w:p>
          <w:p w14:paraId="55711FE6" w14:textId="77777777" w:rsidR="00EE3A11" w:rsidRPr="00A12DDE" w:rsidRDefault="00DC6C2F" w:rsidP="00B16145">
            <w:pPr>
              <w:keepNext/>
              <w:keepLines/>
              <w:rPr>
                <w:bCs/>
              </w:rPr>
            </w:pPr>
            <w:r w:rsidRPr="00A12DDE">
              <w:rPr>
                <w:bCs/>
              </w:rPr>
              <w:t>Fax: + (32) 2 299 80 43,</w:t>
            </w:r>
          </w:p>
          <w:p w14:paraId="6FE1A52D" w14:textId="77777777" w:rsidR="00EE3A11" w:rsidRPr="00A12DDE" w:rsidRDefault="00DC6C2F" w:rsidP="00B16145">
            <w:pPr>
              <w:keepNext/>
              <w:keepLines/>
              <w:rPr>
                <w:bCs/>
              </w:rPr>
            </w:pPr>
            <w:r w:rsidRPr="00A12DDE">
              <w:rPr>
                <w:bCs/>
              </w:rPr>
              <w:t xml:space="preserve">E-mail: </w:t>
            </w:r>
            <w:hyperlink r:id="rId13" w:history="1">
              <w:r w:rsidRPr="00A12DDE">
                <w:rPr>
                  <w:bCs/>
                  <w:color w:val="0000FF"/>
                  <w:u w:val="single"/>
                </w:rPr>
                <w:t>grow-eu-tbt@ec.europa.eu</w:t>
              </w:r>
            </w:hyperlink>
          </w:p>
          <w:p w14:paraId="3E8A9B65" w14:textId="77777777" w:rsidR="00EE3A11" w:rsidRPr="00A12DDE" w:rsidRDefault="00DC6C2F" w:rsidP="00B16145">
            <w:pPr>
              <w:keepNext/>
              <w:keepLines/>
              <w:rPr>
                <w:bCs/>
              </w:rPr>
            </w:pPr>
            <w:r w:rsidRPr="00A12DDE">
              <w:rPr>
                <w:bCs/>
              </w:rPr>
              <w:t xml:space="preserve">The text is available on the EU-TBT Website : </w:t>
            </w:r>
            <w:hyperlink r:id="rId14" w:tgtFrame="_blank" w:history="1">
              <w:r w:rsidRPr="00A12DDE">
                <w:rPr>
                  <w:bCs/>
                  <w:color w:val="0000FF"/>
                  <w:u w:val="single"/>
                </w:rPr>
                <w:t>http://ec.europa.eu/growth/tools-databases/tbt/en/</w:t>
              </w:r>
            </w:hyperlink>
          </w:p>
          <w:p w14:paraId="667848D5" w14:textId="77777777" w:rsidR="00EE3A11" w:rsidRPr="00A12DDE" w:rsidRDefault="009E6CFB" w:rsidP="00B16145">
            <w:pPr>
              <w:keepNext/>
              <w:keepLines/>
              <w:pBdr>
                <w:top w:val="none" w:sz="0" w:space="4" w:color="auto"/>
              </w:pBdr>
              <w:rPr>
                <w:bCs/>
              </w:rPr>
            </w:pPr>
            <w:hyperlink r:id="rId15" w:tgtFrame="_blank" w:history="1">
              <w:r w:rsidR="00DC6C2F" w:rsidRPr="00A12DDE">
                <w:rPr>
                  <w:bCs/>
                  <w:color w:val="0000FF"/>
                  <w:u w:val="single"/>
                </w:rPr>
                <w:t>https://members.wto.org/crnattachments/2024/TBT/EEC/24_05775_00_e.pdf</w:t>
              </w:r>
            </w:hyperlink>
          </w:p>
          <w:p w14:paraId="2F8EF6BC" w14:textId="77777777" w:rsidR="00EE3A11" w:rsidRPr="00A12DDE" w:rsidRDefault="009E6CFB" w:rsidP="00B16145">
            <w:pPr>
              <w:keepNext/>
              <w:keepLines/>
              <w:spacing w:after="120"/>
              <w:rPr>
                <w:bCs/>
              </w:rPr>
            </w:pPr>
            <w:hyperlink r:id="rId16" w:tgtFrame="_blank" w:history="1">
              <w:r w:rsidR="00DC6C2F" w:rsidRPr="00A12DDE">
                <w:rPr>
                  <w:bCs/>
                  <w:color w:val="0000FF"/>
                  <w:u w:val="single"/>
                </w:rPr>
                <w:t>https://members.wto.org/crnattachments/2024/TBT/EEC/24_05775_01_e.pdf</w:t>
              </w:r>
            </w:hyperlink>
          </w:p>
        </w:tc>
      </w:tr>
    </w:tbl>
    <w:p w14:paraId="7BE5ADF4"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0C56" w14:textId="77777777" w:rsidR="00DC6C2F" w:rsidRDefault="00DC6C2F">
      <w:r>
        <w:separator/>
      </w:r>
    </w:p>
  </w:endnote>
  <w:endnote w:type="continuationSeparator" w:id="0">
    <w:p w14:paraId="583CA6BD" w14:textId="77777777" w:rsidR="00DC6C2F" w:rsidRDefault="00DC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27F2" w14:textId="77777777" w:rsidR="009239F7" w:rsidRPr="002F6A28" w:rsidRDefault="00DC6C2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703" w14:textId="77777777" w:rsidR="009239F7" w:rsidRPr="002F6A28" w:rsidRDefault="00DC6C2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7C5D" w14:textId="77777777" w:rsidR="00EE3A11" w:rsidRPr="002F6A28" w:rsidRDefault="00DC6C2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595B" w14:textId="77777777" w:rsidR="00DC6C2F" w:rsidRDefault="00DC6C2F">
      <w:r>
        <w:separator/>
      </w:r>
    </w:p>
  </w:footnote>
  <w:footnote w:type="continuationSeparator" w:id="0">
    <w:p w14:paraId="4D2F7038" w14:textId="77777777" w:rsidR="00DC6C2F" w:rsidRDefault="00DC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99BA" w14:textId="77777777" w:rsidR="009239F7" w:rsidRPr="002F6A28" w:rsidRDefault="00DC6C2F" w:rsidP="009239F7">
    <w:pPr>
      <w:pStyle w:val="Header"/>
      <w:pBdr>
        <w:bottom w:val="single" w:sz="4" w:space="1" w:color="auto"/>
      </w:pBdr>
      <w:tabs>
        <w:tab w:val="clear" w:pos="4513"/>
        <w:tab w:val="clear" w:pos="9027"/>
      </w:tabs>
      <w:jc w:val="center"/>
    </w:pPr>
    <w:r w:rsidRPr="002F6A28">
      <w:t>tbtSymbol</w:t>
    </w:r>
  </w:p>
  <w:p w14:paraId="195E68B6" w14:textId="77777777" w:rsidR="009239F7" w:rsidRPr="002F6A28" w:rsidRDefault="009239F7" w:rsidP="009239F7">
    <w:pPr>
      <w:pStyle w:val="Header"/>
      <w:pBdr>
        <w:bottom w:val="single" w:sz="4" w:space="1" w:color="auto"/>
      </w:pBdr>
      <w:tabs>
        <w:tab w:val="clear" w:pos="4513"/>
        <w:tab w:val="clear" w:pos="9027"/>
      </w:tabs>
      <w:jc w:val="center"/>
    </w:pPr>
  </w:p>
  <w:p w14:paraId="55E3D692" w14:textId="77777777" w:rsidR="009239F7" w:rsidRPr="002F6A28" w:rsidRDefault="00DC6C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AB91A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7C58" w14:textId="77777777" w:rsidR="009239F7" w:rsidRPr="002F6A28" w:rsidRDefault="00DC6C2F" w:rsidP="009239F7">
    <w:pPr>
      <w:pStyle w:val="Header"/>
      <w:pBdr>
        <w:bottom w:val="single" w:sz="4" w:space="1" w:color="auto"/>
      </w:pBdr>
      <w:tabs>
        <w:tab w:val="clear" w:pos="4513"/>
        <w:tab w:val="clear" w:pos="9027"/>
      </w:tabs>
      <w:jc w:val="center"/>
    </w:pPr>
    <w:bookmarkStart w:id="0" w:name="spsSymbolHeader"/>
    <w:r w:rsidRPr="002F6A28">
      <w:t>G/TBT/N/EU/1084</w:t>
    </w:r>
    <w:bookmarkEnd w:id="0"/>
  </w:p>
  <w:p w14:paraId="6115131C" w14:textId="77777777" w:rsidR="009239F7" w:rsidRPr="002F6A28" w:rsidRDefault="009239F7" w:rsidP="009239F7">
    <w:pPr>
      <w:pStyle w:val="Header"/>
      <w:pBdr>
        <w:bottom w:val="single" w:sz="4" w:space="1" w:color="auto"/>
      </w:pBdr>
      <w:tabs>
        <w:tab w:val="clear" w:pos="4513"/>
        <w:tab w:val="clear" w:pos="9027"/>
      </w:tabs>
      <w:jc w:val="center"/>
    </w:pPr>
  </w:p>
  <w:p w14:paraId="008AFC88" w14:textId="77777777" w:rsidR="009239F7" w:rsidRPr="002F6A28" w:rsidRDefault="00DC6C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F069B5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2B12" w14:paraId="777B37DB" w14:textId="77777777" w:rsidTr="008612A9">
      <w:trPr>
        <w:trHeight w:val="240"/>
        <w:jc w:val="center"/>
      </w:trPr>
      <w:tc>
        <w:tcPr>
          <w:tcW w:w="3794" w:type="dxa"/>
          <w:shd w:val="clear" w:color="auto" w:fill="FFFFFF"/>
          <w:tcMar>
            <w:left w:w="108" w:type="dxa"/>
            <w:right w:w="108" w:type="dxa"/>
          </w:tcMar>
          <w:vAlign w:val="center"/>
        </w:tcPr>
        <w:p w14:paraId="6DF1FBAC"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750F2B0" w14:textId="77777777" w:rsidR="00ED54E0" w:rsidRPr="009239F7" w:rsidRDefault="00ED54E0" w:rsidP="00B801E9">
          <w:pPr>
            <w:jc w:val="right"/>
            <w:rPr>
              <w:b/>
              <w:color w:val="FF0000"/>
              <w:szCs w:val="16"/>
            </w:rPr>
          </w:pPr>
        </w:p>
      </w:tc>
    </w:tr>
    <w:bookmarkEnd w:id="1"/>
    <w:tr w:rsidR="00FA2B12" w14:paraId="12BAA698" w14:textId="77777777" w:rsidTr="008612A9">
      <w:trPr>
        <w:trHeight w:val="213"/>
        <w:jc w:val="center"/>
      </w:trPr>
      <w:tc>
        <w:tcPr>
          <w:tcW w:w="3794" w:type="dxa"/>
          <w:vMerge w:val="restart"/>
          <w:shd w:val="clear" w:color="auto" w:fill="FFFFFF"/>
          <w:tcMar>
            <w:left w:w="0" w:type="dxa"/>
            <w:right w:w="0" w:type="dxa"/>
          </w:tcMar>
        </w:tcPr>
        <w:p w14:paraId="4D1AB861" w14:textId="77777777" w:rsidR="00ED54E0" w:rsidRPr="009239F7" w:rsidRDefault="00DC6C2F" w:rsidP="00B801E9">
          <w:pPr>
            <w:jc w:val="left"/>
          </w:pPr>
          <w:r>
            <w:rPr>
              <w:noProof/>
              <w:lang w:eastAsia="en-GB"/>
            </w:rPr>
            <w:drawing>
              <wp:inline distT="0" distB="0" distL="0" distR="0" wp14:anchorId="3E32EAFC" wp14:editId="426D9C6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808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2049C4" w14:textId="77777777" w:rsidR="00ED54E0" w:rsidRPr="009239F7" w:rsidRDefault="00ED54E0" w:rsidP="00B801E9">
          <w:pPr>
            <w:jc w:val="right"/>
            <w:rPr>
              <w:b/>
              <w:szCs w:val="16"/>
            </w:rPr>
          </w:pPr>
        </w:p>
      </w:tc>
    </w:tr>
    <w:tr w:rsidR="00FA2B12" w14:paraId="370E7A5A" w14:textId="77777777" w:rsidTr="008612A9">
      <w:trPr>
        <w:trHeight w:val="868"/>
        <w:jc w:val="center"/>
      </w:trPr>
      <w:tc>
        <w:tcPr>
          <w:tcW w:w="3794" w:type="dxa"/>
          <w:vMerge/>
          <w:shd w:val="clear" w:color="auto" w:fill="FFFFFF"/>
          <w:tcMar>
            <w:left w:w="108" w:type="dxa"/>
            <w:right w:w="108" w:type="dxa"/>
          </w:tcMar>
        </w:tcPr>
        <w:p w14:paraId="1D95C62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DF6ABC" w14:textId="77777777" w:rsidR="009239F7" w:rsidRPr="002F6A28" w:rsidRDefault="00DC6C2F" w:rsidP="00B801E9">
          <w:pPr>
            <w:jc w:val="right"/>
            <w:rPr>
              <w:b/>
              <w:szCs w:val="16"/>
            </w:rPr>
          </w:pPr>
          <w:bookmarkStart w:id="2" w:name="bmkSymbols"/>
          <w:r w:rsidRPr="002F6A28">
            <w:rPr>
              <w:b/>
              <w:szCs w:val="16"/>
            </w:rPr>
            <w:t>G/TBT/N/EU/1084</w:t>
          </w:r>
          <w:bookmarkEnd w:id="2"/>
        </w:p>
      </w:tc>
    </w:tr>
    <w:tr w:rsidR="00FA2B12" w14:paraId="3DD096FA" w14:textId="77777777" w:rsidTr="008612A9">
      <w:trPr>
        <w:trHeight w:val="240"/>
        <w:jc w:val="center"/>
      </w:trPr>
      <w:tc>
        <w:tcPr>
          <w:tcW w:w="3794" w:type="dxa"/>
          <w:vMerge/>
          <w:shd w:val="clear" w:color="auto" w:fill="FFFFFF"/>
          <w:tcMar>
            <w:left w:w="108" w:type="dxa"/>
            <w:right w:w="108" w:type="dxa"/>
          </w:tcMar>
          <w:vAlign w:val="center"/>
        </w:tcPr>
        <w:p w14:paraId="4178902F" w14:textId="77777777" w:rsidR="00ED54E0" w:rsidRPr="009239F7" w:rsidRDefault="00ED54E0" w:rsidP="00B801E9"/>
      </w:tc>
      <w:tc>
        <w:tcPr>
          <w:tcW w:w="5448" w:type="dxa"/>
          <w:gridSpan w:val="2"/>
          <w:shd w:val="clear" w:color="auto" w:fill="FFFFFF"/>
          <w:tcMar>
            <w:left w:w="108" w:type="dxa"/>
            <w:right w:w="108" w:type="dxa"/>
          </w:tcMar>
          <w:vAlign w:val="center"/>
        </w:tcPr>
        <w:p w14:paraId="49402B79" w14:textId="0046FCD5" w:rsidR="00ED54E0" w:rsidRPr="009239F7" w:rsidRDefault="00DC6C2F" w:rsidP="00B801E9">
          <w:pPr>
            <w:jc w:val="right"/>
            <w:rPr>
              <w:szCs w:val="16"/>
            </w:rPr>
          </w:pPr>
          <w:bookmarkStart w:id="3" w:name="spsDateDistribution"/>
          <w:bookmarkStart w:id="4" w:name="bmkDate"/>
          <w:bookmarkEnd w:id="3"/>
          <w:bookmarkEnd w:id="4"/>
          <w:r>
            <w:rPr>
              <w:szCs w:val="16"/>
            </w:rPr>
            <w:t>2 September 2024</w:t>
          </w:r>
        </w:p>
      </w:tc>
    </w:tr>
    <w:tr w:rsidR="00FA2B12" w14:paraId="021FA73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3CBC61" w14:textId="40F5538F" w:rsidR="00ED54E0" w:rsidRPr="009239F7" w:rsidRDefault="00DC6C2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9E6CFB">
            <w:rPr>
              <w:color w:val="FF0000"/>
              <w:szCs w:val="16"/>
            </w:rPr>
            <w:t>6097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3139A9F" w14:textId="77777777" w:rsidR="00ED54E0" w:rsidRPr="009239F7" w:rsidRDefault="00DC6C2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A2B12" w14:paraId="29D1B54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5FDB6E" w14:textId="77777777" w:rsidR="00ED54E0" w:rsidRPr="009239F7" w:rsidRDefault="00DC6C2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F71BFA3" w14:textId="77777777" w:rsidR="00ED54E0" w:rsidRPr="002F6A28" w:rsidRDefault="00DC6C2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D24D95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96E9CC">
      <w:start w:val="1"/>
      <w:numFmt w:val="decimal"/>
      <w:pStyle w:val="SummaryText"/>
      <w:lvlText w:val="%1."/>
      <w:lvlJc w:val="left"/>
      <w:pPr>
        <w:ind w:left="360" w:hanging="360"/>
      </w:pPr>
    </w:lvl>
    <w:lvl w:ilvl="1" w:tplc="F9A02188" w:tentative="1">
      <w:start w:val="1"/>
      <w:numFmt w:val="lowerLetter"/>
      <w:lvlText w:val="%2."/>
      <w:lvlJc w:val="left"/>
      <w:pPr>
        <w:ind w:left="1080" w:hanging="360"/>
      </w:pPr>
    </w:lvl>
    <w:lvl w:ilvl="2" w:tplc="EB0E3C78" w:tentative="1">
      <w:start w:val="1"/>
      <w:numFmt w:val="lowerRoman"/>
      <w:lvlText w:val="%3."/>
      <w:lvlJc w:val="right"/>
      <w:pPr>
        <w:ind w:left="1800" w:hanging="180"/>
      </w:pPr>
    </w:lvl>
    <w:lvl w:ilvl="3" w:tplc="3DD46E74" w:tentative="1">
      <w:start w:val="1"/>
      <w:numFmt w:val="decimal"/>
      <w:lvlText w:val="%4."/>
      <w:lvlJc w:val="left"/>
      <w:pPr>
        <w:ind w:left="2520" w:hanging="360"/>
      </w:pPr>
    </w:lvl>
    <w:lvl w:ilvl="4" w:tplc="C764F8B0" w:tentative="1">
      <w:start w:val="1"/>
      <w:numFmt w:val="lowerLetter"/>
      <w:lvlText w:val="%5."/>
      <w:lvlJc w:val="left"/>
      <w:pPr>
        <w:ind w:left="3240" w:hanging="360"/>
      </w:pPr>
    </w:lvl>
    <w:lvl w:ilvl="5" w:tplc="1C12602A" w:tentative="1">
      <w:start w:val="1"/>
      <w:numFmt w:val="lowerRoman"/>
      <w:lvlText w:val="%6."/>
      <w:lvlJc w:val="right"/>
      <w:pPr>
        <w:ind w:left="3960" w:hanging="180"/>
      </w:pPr>
    </w:lvl>
    <w:lvl w:ilvl="6" w:tplc="ADC616DE" w:tentative="1">
      <w:start w:val="1"/>
      <w:numFmt w:val="decimal"/>
      <w:lvlText w:val="%7."/>
      <w:lvlJc w:val="left"/>
      <w:pPr>
        <w:ind w:left="4680" w:hanging="360"/>
      </w:pPr>
    </w:lvl>
    <w:lvl w:ilvl="7" w:tplc="AF5870BA" w:tentative="1">
      <w:start w:val="1"/>
      <w:numFmt w:val="lowerLetter"/>
      <w:lvlText w:val="%8."/>
      <w:lvlJc w:val="left"/>
      <w:pPr>
        <w:ind w:left="5400" w:hanging="360"/>
      </w:pPr>
    </w:lvl>
    <w:lvl w:ilvl="8" w:tplc="EF286E12" w:tentative="1">
      <w:start w:val="1"/>
      <w:numFmt w:val="lowerRoman"/>
      <w:lvlText w:val="%9."/>
      <w:lvlJc w:val="right"/>
      <w:pPr>
        <w:ind w:left="6120" w:hanging="180"/>
      </w:pPr>
    </w:lvl>
  </w:abstractNum>
  <w:num w:numId="1" w16cid:durableId="985665283">
    <w:abstractNumId w:val="9"/>
  </w:num>
  <w:num w:numId="2" w16cid:durableId="1460613468">
    <w:abstractNumId w:val="7"/>
  </w:num>
  <w:num w:numId="3" w16cid:durableId="1228613731">
    <w:abstractNumId w:val="6"/>
  </w:num>
  <w:num w:numId="4" w16cid:durableId="1481078263">
    <w:abstractNumId w:val="5"/>
  </w:num>
  <w:num w:numId="5" w16cid:durableId="1341735106">
    <w:abstractNumId w:val="4"/>
  </w:num>
  <w:num w:numId="6" w16cid:durableId="2017223030">
    <w:abstractNumId w:val="12"/>
  </w:num>
  <w:num w:numId="7" w16cid:durableId="835414524">
    <w:abstractNumId w:val="11"/>
  </w:num>
  <w:num w:numId="8" w16cid:durableId="1562253552">
    <w:abstractNumId w:val="10"/>
  </w:num>
  <w:num w:numId="9" w16cid:durableId="1158182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631525">
    <w:abstractNumId w:val="13"/>
  </w:num>
  <w:num w:numId="11" w16cid:durableId="1548564501">
    <w:abstractNumId w:val="8"/>
  </w:num>
  <w:num w:numId="12" w16cid:durableId="366881189">
    <w:abstractNumId w:val="3"/>
  </w:num>
  <w:num w:numId="13" w16cid:durableId="1249383371">
    <w:abstractNumId w:val="2"/>
  </w:num>
  <w:num w:numId="14" w16cid:durableId="310210010">
    <w:abstractNumId w:val="1"/>
  </w:num>
  <w:num w:numId="15" w16cid:durableId="90198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61B4"/>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441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6CFB"/>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C6C2F"/>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2B12"/>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F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ow-eu-tbt@ec.europa.e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ur-lex.europa.eu/eli/reg/2017/746/oj"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EEC/24_05775_01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eli/reg_impl/2022/1107/o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mbers.wto.org/crnattachments/2024/TBT/EEC/24_05775_00_e.pdf" TargetMode="External"/><Relationship Id="rId23" Type="http://schemas.openxmlformats.org/officeDocument/2006/relationships/fontTable" Target="fontTable.xml"/><Relationship Id="rId10" Type="http://schemas.openxmlformats.org/officeDocument/2006/relationships/hyperlink" Target="http://ec.europa.eu/growth/tools-databases/tbt/e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ec.europa.eu/growth/tools-databases/tb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34B8-04E8-43B3-80C2-ABF38FBB46B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2024-09-02T09:14:00Z</dcterms:created>
  <dcterms:modified xsi:type="dcterms:W3CDTF">2024-09-02T09:22:00Z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