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074D" w14:textId="77777777" w:rsidR="009239F7" w:rsidRPr="002F6A28" w:rsidRDefault="005E6B5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71BCFCC" w14:textId="77777777" w:rsidR="009239F7" w:rsidRPr="002F6A28" w:rsidRDefault="005E6B5D" w:rsidP="002F6A28">
      <w:pPr>
        <w:jc w:val="center"/>
      </w:pPr>
      <w:r w:rsidRPr="002F6A28">
        <w:t>The following notification is being circulated in accordance with Article 10.6</w:t>
      </w:r>
    </w:p>
    <w:p w14:paraId="50FF68C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570B3" w14:paraId="019E580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1635F73" w14:textId="77777777" w:rsidR="00F85C99" w:rsidRPr="002F6A28" w:rsidRDefault="005E6B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C51B1B9" w14:textId="77777777" w:rsidR="00F85C99" w:rsidRPr="002F6A28" w:rsidRDefault="005E6B5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351BABE6" w14:textId="77777777" w:rsidR="00F85C99" w:rsidRPr="002F6A28" w:rsidRDefault="005E6B5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570B3" w14:paraId="76A12C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46E65" w14:textId="77777777" w:rsidR="00F85C99" w:rsidRPr="002F6A28" w:rsidRDefault="005E6B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BEEB5" w14:textId="77777777" w:rsidR="00F85C99" w:rsidRPr="002F6A28" w:rsidRDefault="005E6B5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5718F2D" w14:textId="77777777" w:rsidR="00535800" w:rsidRPr="002F6A28" w:rsidRDefault="005E6B5D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 xml:space="preserve">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008E856C" w14:textId="77777777" w:rsidR="00F85C99" w:rsidRPr="002F6A28" w:rsidRDefault="005E6B5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570B3" w14:paraId="700E25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46BFC" w14:textId="77777777" w:rsidR="00F85C99" w:rsidRPr="002F6A28" w:rsidRDefault="005E6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F5F77" w14:textId="77777777" w:rsidR="00F85C99" w:rsidRPr="0058336F" w:rsidRDefault="005E6B5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570B3" w14:paraId="13A2D3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3A3CE" w14:textId="77777777" w:rsidR="00F85C99" w:rsidRPr="002F6A28" w:rsidRDefault="005E6B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01358" w14:textId="77777777" w:rsidR="00F85C99" w:rsidRPr="002F6A28" w:rsidRDefault="005E6B5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Mineral materials and products (ICS 91.100.15), Concrete and concrete products (ICS 91.100.30)</w:t>
            </w:r>
            <w:bookmarkStart w:id="20" w:name="sps3a"/>
            <w:bookmarkEnd w:id="20"/>
          </w:p>
        </w:tc>
      </w:tr>
      <w:tr w:rsidR="009570B3" w14:paraId="3D5609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A58A9" w14:textId="77777777" w:rsidR="00F85C99" w:rsidRPr="002F6A28" w:rsidRDefault="005E6B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8327E" w14:textId="77777777" w:rsidR="00F85C99" w:rsidRPr="002F6A28" w:rsidRDefault="005E6B5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Ministerial Decree No. 221 /2021 (2 pages, in Arabic) mandating the Egyptian Standard ES 1109 "Aggregates for concrete" (51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570B3" w14:paraId="02DCD3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A4BA2" w14:textId="77777777" w:rsidR="00F85C99" w:rsidRPr="002F6A28" w:rsidRDefault="005E6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449AA" w14:textId="77777777" w:rsidR="00F85C99" w:rsidRPr="002F6A28" w:rsidRDefault="005E6B5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221 /2021gives the producers and importers a six-month transitional period to abide by the Egyptian standard ES 1109.</w:t>
            </w:r>
          </w:p>
          <w:p w14:paraId="6FBAC0FE" w14:textId="77777777" w:rsidR="00FE448B" w:rsidRPr="00C379C8" w:rsidRDefault="005E6B5D" w:rsidP="002F6A28">
            <w:pPr>
              <w:spacing w:after="120"/>
            </w:pPr>
            <w:r w:rsidRPr="00C379C8">
              <w:t>This standard specifies the properties of aggregates and filler aggregates obtained by processing natural, manufactured or recycled materials and mixtures of these aggregates for use in concrete.</w:t>
            </w:r>
          </w:p>
          <w:p w14:paraId="6A8ABFFD" w14:textId="77777777" w:rsidR="00FE448B" w:rsidRPr="00C379C8" w:rsidRDefault="005E6B5D" w:rsidP="002F6A28">
            <w:pPr>
              <w:spacing w:after="120"/>
            </w:pPr>
            <w:r w:rsidRPr="00C379C8">
              <w:t xml:space="preserve">It covers aggregates having an oven dried particle density greater than (2000 Kg/m3) for all types of concrete, including concrete conforming to the Egyptian standard issued in this regard and concrete used in roads and paving works, or in precast concrete products.   </w:t>
            </w:r>
          </w:p>
          <w:p w14:paraId="67F44684" w14:textId="77777777" w:rsidR="00FE448B" w:rsidRPr="00C379C8" w:rsidRDefault="005E6B5D" w:rsidP="002F6A28">
            <w:pPr>
              <w:spacing w:after="120"/>
            </w:pPr>
            <w:r w:rsidRPr="00C379C8">
              <w:t xml:space="preserve">This standard also specifies the quality control system applied in the place of production and gives an assessment of the compliance of the aggregate products with this standard. </w:t>
            </w:r>
          </w:p>
          <w:p w14:paraId="21422E97" w14:textId="77777777" w:rsidR="00FE448B" w:rsidRPr="00C379C8" w:rsidRDefault="005E6B5D" w:rsidP="002F6A28">
            <w:pPr>
              <w:spacing w:after="120"/>
            </w:pPr>
            <w:r w:rsidRPr="00C379C8">
              <w:t>This standard does not include the filler aggregate used as a basic component in the manufacture of some types of cement or aggregates for any uses except that it is an inert filler material for concrete.</w:t>
            </w:r>
          </w:p>
          <w:p w14:paraId="03021B45" w14:textId="77777777" w:rsidR="00FE448B" w:rsidRPr="00C379C8" w:rsidRDefault="005E6B5D" w:rsidP="002F6A28">
            <w:pPr>
              <w:spacing w:after="120"/>
            </w:pPr>
            <w:r w:rsidRPr="00C379C8">
              <w:t xml:space="preserve">Worth mentioning is that this standard is technically identical with modification with </w:t>
            </w:r>
            <w:hyperlink r:id="rId10" w:history="1">
              <w:r w:rsidRPr="00C379C8">
                <w:rPr>
                  <w:color w:val="0000FF"/>
                  <w:u w:val="single"/>
                </w:rPr>
                <w:t>EN 12620/2002+A1/2008</w:t>
              </w:r>
            </w:hyperlink>
            <w:r w:rsidRPr="00C379C8">
              <w:t>.</w:t>
            </w:r>
          </w:p>
        </w:tc>
      </w:tr>
      <w:tr w:rsidR="009570B3" w14:paraId="31B75C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3E5E7" w14:textId="77777777" w:rsidR="00F85C99" w:rsidRPr="002F6A28" w:rsidRDefault="005E6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7BC15" w14:textId="77777777" w:rsidR="00F85C99" w:rsidRPr="002F6A28" w:rsidRDefault="005E6B5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Safety and quality requirements; Other</w:t>
            </w:r>
            <w:bookmarkStart w:id="27" w:name="sps7f"/>
            <w:bookmarkEnd w:id="27"/>
          </w:p>
        </w:tc>
      </w:tr>
      <w:tr w:rsidR="009570B3" w14:paraId="5FB595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1EE43" w14:textId="77777777" w:rsidR="00F85C99" w:rsidRPr="002F6A28" w:rsidRDefault="005E6B5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E5CBA" w14:textId="77777777" w:rsidR="00072B36" w:rsidRPr="002F6A28" w:rsidRDefault="005E6B5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2C823FC" w14:textId="77777777" w:rsidR="00535800" w:rsidRPr="002F6A28" w:rsidRDefault="001C061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hyperlink r:id="rId11" w:history="1">
              <w:r w:rsidR="005E6B5D" w:rsidRPr="002F6A28">
                <w:rPr>
                  <w:bCs/>
                  <w:color w:val="0000FF"/>
                  <w:u w:val="single"/>
                </w:rPr>
                <w:t>EN 12620/2002+A1/2008</w:t>
              </w:r>
            </w:hyperlink>
          </w:p>
          <w:p w14:paraId="63196146" w14:textId="77777777" w:rsidR="00535800" w:rsidRPr="002F6A28" w:rsidRDefault="005E6B5D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Ministerial Decree No. 221/2021</w:t>
            </w:r>
          </w:p>
        </w:tc>
      </w:tr>
      <w:tr w:rsidR="009570B3" w14:paraId="58C6BCA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10ACC" w14:textId="77777777" w:rsidR="00EE3A11" w:rsidRPr="002F6A28" w:rsidRDefault="005E6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81C68" w14:textId="77777777" w:rsidR="00EE3A11" w:rsidRPr="002F6A28" w:rsidRDefault="005E6B5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20 May 2021</w:t>
            </w:r>
            <w:bookmarkStart w:id="30" w:name="sps10a"/>
            <w:bookmarkStart w:id="31" w:name="sps10b"/>
            <w:bookmarkEnd w:id="30"/>
            <w:bookmarkEnd w:id="31"/>
          </w:p>
          <w:p w14:paraId="32E6BBFE" w14:textId="77777777" w:rsidR="00EE3A11" w:rsidRPr="002F6A28" w:rsidRDefault="005E6B5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14 June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9570B3" w14:paraId="554E14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FB059" w14:textId="77777777" w:rsidR="00F85C99" w:rsidRPr="002F6A28" w:rsidRDefault="005E6B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D3F31" w14:textId="77777777" w:rsidR="00F85C99" w:rsidRPr="002F6A28" w:rsidRDefault="005E6B5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9570B3" w14:paraId="477B410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668A28" w14:textId="77777777" w:rsidR="00F85C99" w:rsidRPr="002F6A28" w:rsidRDefault="005E6B5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BCEF069" w14:textId="77777777" w:rsidR="00F85C99" w:rsidRPr="002F6A28" w:rsidRDefault="005E6B5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CE99163" w14:textId="77777777" w:rsidR="00535800" w:rsidRPr="002F6A28" w:rsidRDefault="005E6B5D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 xml:space="preserve">Address: 16 </w:t>
            </w:r>
            <w:proofErr w:type="spellStart"/>
            <w:r w:rsidRPr="002F6A28">
              <w:t>Tadreeb</w:t>
            </w:r>
            <w:proofErr w:type="spellEnd"/>
            <w:r w:rsidRPr="002F6A28">
              <w:t xml:space="preserve"> El-</w:t>
            </w:r>
            <w:proofErr w:type="spellStart"/>
            <w:r w:rsidRPr="002F6A28">
              <w:t>Modarrebeen</w:t>
            </w:r>
            <w:proofErr w:type="spellEnd"/>
            <w:r w:rsidRPr="002F6A28">
              <w:t xml:space="preserve"> St., </w:t>
            </w:r>
            <w:proofErr w:type="spellStart"/>
            <w:r w:rsidRPr="002F6A28">
              <w:t>Ameriya</w:t>
            </w:r>
            <w:proofErr w:type="spellEnd"/>
            <w:r w:rsidRPr="002F6A28">
              <w:t>, Cairo- Egypt</w:t>
            </w:r>
            <w:r w:rsidRPr="002F6A28">
              <w:br/>
              <w:t xml:space="preserve">E-mail: </w:t>
            </w:r>
            <w:hyperlink r:id="rId12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13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4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0"/>
          </w:p>
        </w:tc>
      </w:tr>
    </w:tbl>
    <w:p w14:paraId="5E79AC7C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348D2" w14:textId="77777777" w:rsidR="00100E4E" w:rsidRDefault="005E6B5D">
      <w:r>
        <w:separator/>
      </w:r>
    </w:p>
  </w:endnote>
  <w:endnote w:type="continuationSeparator" w:id="0">
    <w:p w14:paraId="69D8128E" w14:textId="77777777" w:rsidR="00100E4E" w:rsidRDefault="005E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82AF" w14:textId="77777777" w:rsidR="009239F7" w:rsidRPr="002F6A28" w:rsidRDefault="005E6B5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7F8C" w14:textId="77777777" w:rsidR="009239F7" w:rsidRPr="002F6A28" w:rsidRDefault="005E6B5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2CEB6" w14:textId="77777777" w:rsidR="00EE3A11" w:rsidRPr="002F6A28" w:rsidRDefault="005E6B5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B0B2D" w14:textId="77777777" w:rsidR="00100E4E" w:rsidRDefault="005E6B5D">
      <w:r>
        <w:separator/>
      </w:r>
    </w:p>
  </w:footnote>
  <w:footnote w:type="continuationSeparator" w:id="0">
    <w:p w14:paraId="5409D70E" w14:textId="77777777" w:rsidR="00100E4E" w:rsidRDefault="005E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EB1D" w14:textId="77777777" w:rsidR="009239F7" w:rsidRPr="002F6A28" w:rsidRDefault="005E6B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2AC7B8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0A874E" w14:textId="77777777" w:rsidR="009239F7" w:rsidRPr="002F6A28" w:rsidRDefault="005E6B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F5C92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1D646" w14:textId="77777777" w:rsidR="009239F7" w:rsidRPr="002F6A28" w:rsidRDefault="005E6B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G/TBT/N/EGY/310</w:t>
    </w:r>
    <w:bookmarkEnd w:id="41"/>
  </w:p>
  <w:p w14:paraId="6AC603F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92C79D" w14:textId="77777777" w:rsidR="009239F7" w:rsidRPr="002F6A28" w:rsidRDefault="005E6B5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00A46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70B3" w14:paraId="23785B8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1B11E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9B1D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570B3" w14:paraId="1373BD0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5B0189" w14:textId="77777777" w:rsidR="00ED54E0" w:rsidRPr="009239F7" w:rsidRDefault="005E6B5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4D6E281" wp14:editId="22BC51F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12696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56BBE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570B3" w14:paraId="7DB866C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267D4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A18D5A" w14:textId="77777777" w:rsidR="009239F7" w:rsidRPr="002F6A28" w:rsidRDefault="005E6B5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G/TBT/N/EGY/310</w:t>
          </w:r>
          <w:bookmarkEnd w:id="43"/>
        </w:p>
      </w:tc>
    </w:tr>
    <w:tr w:rsidR="009570B3" w14:paraId="32B162B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B92C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4B6012" w14:textId="786E4298" w:rsidR="00ED54E0" w:rsidRPr="009239F7" w:rsidRDefault="005E6B5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22 November 2021</w:t>
          </w:r>
        </w:p>
      </w:tc>
    </w:tr>
    <w:tr w:rsidR="009570B3" w14:paraId="26CEB75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24C798" w14:textId="627718F5" w:rsidR="00ED54E0" w:rsidRPr="009239F7" w:rsidRDefault="005E6B5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1C0615">
            <w:rPr>
              <w:color w:val="FF0000"/>
              <w:szCs w:val="16"/>
            </w:rPr>
            <w:t>8782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09E623" w14:textId="77777777" w:rsidR="00ED54E0" w:rsidRPr="009239F7" w:rsidRDefault="005E6B5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570B3" w14:paraId="5C2599C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5C4A49" w14:textId="77777777" w:rsidR="00ED54E0" w:rsidRPr="009239F7" w:rsidRDefault="005E6B5D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9ACFDF" w14:textId="77777777" w:rsidR="00ED54E0" w:rsidRPr="002F6A28" w:rsidRDefault="005E6B5D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989DD4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B64C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ECAB42" w:tentative="1">
      <w:start w:val="1"/>
      <w:numFmt w:val="lowerLetter"/>
      <w:lvlText w:val="%2."/>
      <w:lvlJc w:val="left"/>
      <w:pPr>
        <w:ind w:left="1080" w:hanging="360"/>
      </w:pPr>
    </w:lvl>
    <w:lvl w:ilvl="2" w:tplc="A68A76C0" w:tentative="1">
      <w:start w:val="1"/>
      <w:numFmt w:val="lowerRoman"/>
      <w:lvlText w:val="%3."/>
      <w:lvlJc w:val="right"/>
      <w:pPr>
        <w:ind w:left="1800" w:hanging="180"/>
      </w:pPr>
    </w:lvl>
    <w:lvl w:ilvl="3" w:tplc="0BCE44AA" w:tentative="1">
      <w:start w:val="1"/>
      <w:numFmt w:val="decimal"/>
      <w:lvlText w:val="%4."/>
      <w:lvlJc w:val="left"/>
      <w:pPr>
        <w:ind w:left="2520" w:hanging="360"/>
      </w:pPr>
    </w:lvl>
    <w:lvl w:ilvl="4" w:tplc="9D985F06" w:tentative="1">
      <w:start w:val="1"/>
      <w:numFmt w:val="lowerLetter"/>
      <w:lvlText w:val="%5."/>
      <w:lvlJc w:val="left"/>
      <w:pPr>
        <w:ind w:left="3240" w:hanging="360"/>
      </w:pPr>
    </w:lvl>
    <w:lvl w:ilvl="5" w:tplc="C68ED75A" w:tentative="1">
      <w:start w:val="1"/>
      <w:numFmt w:val="lowerRoman"/>
      <w:lvlText w:val="%6."/>
      <w:lvlJc w:val="right"/>
      <w:pPr>
        <w:ind w:left="3960" w:hanging="180"/>
      </w:pPr>
    </w:lvl>
    <w:lvl w:ilvl="6" w:tplc="36500680" w:tentative="1">
      <w:start w:val="1"/>
      <w:numFmt w:val="decimal"/>
      <w:lvlText w:val="%7."/>
      <w:lvlJc w:val="left"/>
      <w:pPr>
        <w:ind w:left="4680" w:hanging="360"/>
      </w:pPr>
    </w:lvl>
    <w:lvl w:ilvl="7" w:tplc="BCA22C78" w:tentative="1">
      <w:start w:val="1"/>
      <w:numFmt w:val="lowerLetter"/>
      <w:lvlText w:val="%8."/>
      <w:lvlJc w:val="left"/>
      <w:pPr>
        <w:ind w:left="5400" w:hanging="360"/>
      </w:pPr>
    </w:lvl>
    <w:lvl w:ilvl="8" w:tplc="857C55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2220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FAB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28AB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CCF0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0A6B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56D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24CD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F68A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B06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0E4E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C0615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35800"/>
    <w:rsid w:val="0054317D"/>
    <w:rsid w:val="00543F86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6B5D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570B3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2401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C0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.bsigroup.com/ProductDetail/?pid=00000000003015218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hop.bsigroup.com/ProductDetail/?pid=000000000030152181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2021-11-22T10:40:00Z</dcterms:created>
  <dcterms:modified xsi:type="dcterms:W3CDTF">2021-11-22T13:24:00Z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