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DB5B" w14:textId="77777777" w:rsidR="002A15F6" w:rsidRPr="00DC417E" w:rsidRDefault="00CC2706" w:rsidP="002A15F6">
      <w:pPr>
        <w:pStyle w:val="Title"/>
        <w:rPr>
          <w:caps w:val="0"/>
          <w:kern w:val="0"/>
        </w:rPr>
      </w:pPr>
      <w:r w:rsidRPr="00DC417E">
        <w:rPr>
          <w:caps w:val="0"/>
          <w:kern w:val="0"/>
        </w:rPr>
        <w:t>NOTIFICATION</w:t>
      </w:r>
    </w:p>
    <w:p w14:paraId="1856217B" w14:textId="77777777" w:rsidR="002A15F6" w:rsidRPr="00DC417E" w:rsidRDefault="00CC2706" w:rsidP="002A15F6">
      <w:pPr>
        <w:pStyle w:val="Title3"/>
      </w:pPr>
      <w:r w:rsidRPr="00DC417E">
        <w:t>Addendum</w:t>
      </w:r>
    </w:p>
    <w:p w14:paraId="3B4F230E" w14:textId="77777777" w:rsidR="002A15F6" w:rsidRDefault="00CC2706" w:rsidP="00864FDD">
      <w:r w:rsidRPr="00DC417E">
        <w:t>La communication ci</w:t>
      </w:r>
      <w:r w:rsidRPr="00DC417E">
        <w:noBreakHyphen/>
        <w:t xml:space="preserve">après, </w:t>
      </w:r>
      <w:r w:rsidR="00B4791C">
        <w:t>datée du</w:t>
      </w:r>
      <w:r w:rsidRPr="00DC417E">
        <w:t xml:space="preserve"> </w:t>
      </w:r>
      <w:bookmarkStart w:id="4" w:name="bmkCrnReceptionDate"/>
      <w:r w:rsidRPr="00DC417E">
        <w:t>16 février 2023</w:t>
      </w:r>
      <w:bookmarkEnd w:id="4"/>
      <w:r w:rsidRPr="00DC417E">
        <w:t>, est distribuée à la demande de la délégation</w:t>
      </w:r>
      <w:r w:rsidR="00BA2412">
        <w:t xml:space="preserve"> </w:t>
      </w:r>
      <w:bookmarkStart w:id="5" w:name="bmkMemberName"/>
      <w:r w:rsidR="00BA2412">
        <w:t xml:space="preserve">du </w:t>
      </w:r>
      <w:r w:rsidR="00BA2412">
        <w:rPr>
          <w:u w:val="single"/>
        </w:rPr>
        <w:t>Canada</w:t>
      </w:r>
      <w:bookmarkEnd w:id="5"/>
      <w:r w:rsidRPr="00DC417E">
        <w:t>.</w:t>
      </w:r>
    </w:p>
    <w:p w14:paraId="6600B2D7" w14:textId="77777777" w:rsidR="00864FDD" w:rsidRPr="00DC417E" w:rsidRDefault="00864FDD" w:rsidP="00864FDD"/>
    <w:p w14:paraId="43D9CB61" w14:textId="77777777" w:rsidR="002A15F6" w:rsidRDefault="00CC2706" w:rsidP="002A15F6">
      <w:pPr>
        <w:jc w:val="center"/>
        <w:rPr>
          <w:b/>
        </w:rPr>
      </w:pPr>
      <w:r w:rsidRPr="00DC417E">
        <w:rPr>
          <w:b/>
        </w:rPr>
        <w:t>_______________</w:t>
      </w:r>
    </w:p>
    <w:p w14:paraId="155C29F3" w14:textId="77777777" w:rsidR="002A15F6" w:rsidRPr="00DC417E" w:rsidRDefault="002A15F6" w:rsidP="002A15F6">
      <w:pPr>
        <w:rPr>
          <w:b/>
        </w:rPr>
      </w:pPr>
    </w:p>
    <w:p w14:paraId="0BC1FD5D" w14:textId="77777777" w:rsidR="002A15F6" w:rsidRPr="00DC417E" w:rsidRDefault="002A15F6" w:rsidP="002A15F6"/>
    <w:p w14:paraId="2C218119" w14:textId="77777777" w:rsidR="002A15F6" w:rsidRPr="00DC417E" w:rsidRDefault="00CC2706" w:rsidP="002A15F6">
      <w:pPr>
        <w:spacing w:after="120"/>
        <w:rPr>
          <w:b/>
          <w:szCs w:val="18"/>
        </w:rPr>
      </w:pPr>
      <w:r w:rsidRPr="00DC417E">
        <w:rPr>
          <w:b/>
          <w:bCs/>
        </w:rPr>
        <w:t>Titre:</w:t>
      </w:r>
      <w:r w:rsidRPr="008F343C">
        <w:t xml:space="preserve"> </w:t>
      </w:r>
      <w:bookmarkStart w:id="6" w:name="bmkTitle"/>
      <w:r w:rsidRPr="008F343C">
        <w:t>Règlement modifiant certains règlements concernant la vente de drogues (urgences en matière de santé touchant le public ou les Forces armées canadiennes)</w:t>
      </w:r>
      <w:bookmarkEnd w:id="6"/>
    </w:p>
    <w:p w14:paraId="1C626B49" w14:textId="77777777" w:rsidR="002A15F6" w:rsidRDefault="002A15F6" w:rsidP="002A15F6"/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87ED5" w14:paraId="3C37A2B2" w14:textId="77777777" w:rsidTr="00D5254C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BA82C6" w14:textId="77777777" w:rsidR="00B664D8" w:rsidRPr="002F663C" w:rsidRDefault="00CC2706" w:rsidP="00B664D8">
            <w:pPr>
              <w:spacing w:before="60" w:after="60"/>
              <w:ind w:left="567" w:hanging="567"/>
              <w:rPr>
                <w:b/>
              </w:rPr>
            </w:pPr>
            <w:r w:rsidRPr="0020277D">
              <w:rPr>
                <w:b/>
                <w:szCs w:val="18"/>
              </w:rPr>
              <w:t>Motif de l'addendum:</w:t>
            </w:r>
          </w:p>
        </w:tc>
      </w:tr>
      <w:tr w:rsidR="00587ED5" w14:paraId="5CCB53C6" w14:textId="77777777" w:rsidTr="00D5254C">
        <w:tc>
          <w:tcPr>
            <w:tcW w:w="851" w:type="dxa"/>
            <w:shd w:val="clear" w:color="auto" w:fill="auto"/>
          </w:tcPr>
          <w:p w14:paraId="3D696C6B" w14:textId="77777777" w:rsidR="00B664D8" w:rsidRPr="0096642E" w:rsidRDefault="00CC2706" w:rsidP="00B664D8">
            <w:pPr>
              <w:spacing w:before="60" w:after="60"/>
              <w:ind w:left="567" w:hanging="567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7" w:name="bmkRsnModificationOfFinalDateForComments"/>
            <w:r w:rsidRPr="0096642E">
              <w:rPr>
                <w:szCs w:val="18"/>
              </w:rPr>
              <w:t> </w:t>
            </w:r>
            <w:bookmarkEnd w:id="7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7111FA" w14:textId="77777777" w:rsidR="00B664D8" w:rsidRPr="002F663C" w:rsidRDefault="00CC2706" w:rsidP="00E05D8A">
            <w:pPr>
              <w:spacing w:before="60" w:after="60"/>
            </w:pPr>
            <w:r w:rsidRPr="0020277D">
              <w:rPr>
                <w:szCs w:val="18"/>
              </w:rPr>
              <w:t xml:space="preserve">Modification du délai pour la présentation des observations </w:t>
            </w:r>
            <w:r>
              <w:rPr>
                <w:szCs w:val="18"/>
              </w:rPr>
              <w:t>–</w:t>
            </w:r>
            <w:r w:rsidRPr="0020277D">
              <w:rPr>
                <w:szCs w:val="18"/>
              </w:rPr>
              <w:t xml:space="preserve"> date:</w:t>
            </w:r>
            <w:r w:rsidR="00403AC5">
              <w:rPr>
                <w:szCs w:val="18"/>
              </w:rPr>
              <w:t xml:space="preserve"> </w:t>
            </w:r>
            <w:bookmarkStart w:id="8" w:name="bmkFinalCommentsDate"/>
            <w:bookmarkEnd w:id="8"/>
          </w:p>
        </w:tc>
      </w:tr>
      <w:tr w:rsidR="00587ED5" w14:paraId="6AFA96B4" w14:textId="77777777" w:rsidTr="00D5254C">
        <w:tc>
          <w:tcPr>
            <w:tcW w:w="851" w:type="dxa"/>
            <w:shd w:val="clear" w:color="auto" w:fill="auto"/>
          </w:tcPr>
          <w:p w14:paraId="7F59B65B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9" w:name="bmkRsnNotifiedMeasureAdopted"/>
            <w:r w:rsidRPr="0096642E">
              <w:rPr>
                <w:szCs w:val="18"/>
              </w:rPr>
              <w:t>X</w:t>
            </w:r>
            <w:bookmarkEnd w:id="9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B5C2B0" w14:textId="77777777" w:rsidR="00B664D8" w:rsidRPr="002F663C" w:rsidRDefault="00CC2706" w:rsidP="00B664D8">
            <w:pPr>
              <w:spacing w:before="60" w:after="60"/>
            </w:pPr>
            <w:r w:rsidRPr="0020277D">
              <w:rPr>
                <w:szCs w:val="18"/>
              </w:rPr>
              <w:t xml:space="preserve">Adoption de la mesure notifiée </w:t>
            </w:r>
            <w:r>
              <w:rPr>
                <w:szCs w:val="18"/>
              </w:rPr>
              <w:t>–</w:t>
            </w:r>
            <w:r w:rsidRPr="0020277D">
              <w:rPr>
                <w:szCs w:val="18"/>
              </w:rPr>
              <w:t xml:space="preserve"> date:</w:t>
            </w:r>
            <w:r w:rsidR="00403AC5">
              <w:rPr>
                <w:szCs w:val="18"/>
              </w:rPr>
              <w:t xml:space="preserve"> </w:t>
            </w:r>
            <w:bookmarkStart w:id="10" w:name="bmkProposedAdoptionDate"/>
            <w:r w:rsidR="00403AC5">
              <w:rPr>
                <w:szCs w:val="18"/>
              </w:rPr>
              <w:t>3 février 2023</w:t>
            </w:r>
            <w:bookmarkEnd w:id="10"/>
          </w:p>
        </w:tc>
      </w:tr>
      <w:tr w:rsidR="00587ED5" w14:paraId="4AE7678E" w14:textId="77777777" w:rsidTr="00D5254C">
        <w:tc>
          <w:tcPr>
            <w:tcW w:w="851" w:type="dxa"/>
            <w:shd w:val="clear" w:color="auto" w:fill="auto"/>
          </w:tcPr>
          <w:p w14:paraId="2A745D25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11" w:name="bmkRsnNotifiedMeasurePublished"/>
            <w:r w:rsidRPr="0096642E">
              <w:rPr>
                <w:szCs w:val="18"/>
              </w:rPr>
              <w:t>X</w:t>
            </w:r>
            <w:bookmarkEnd w:id="11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2621B1" w14:textId="77777777" w:rsidR="00B664D8" w:rsidRPr="002F663C" w:rsidRDefault="00CC2706" w:rsidP="00B664D8">
            <w:pPr>
              <w:spacing w:before="60" w:after="60"/>
            </w:pPr>
            <w:r w:rsidRPr="0020277D">
              <w:rPr>
                <w:szCs w:val="18"/>
              </w:rPr>
              <w:t xml:space="preserve">Publication de la mesure notifiée </w:t>
            </w:r>
            <w:r>
              <w:rPr>
                <w:szCs w:val="18"/>
              </w:rPr>
              <w:t>–</w:t>
            </w:r>
            <w:r w:rsidRPr="0020277D">
              <w:rPr>
                <w:szCs w:val="18"/>
              </w:rPr>
              <w:t xml:space="preserve"> date:</w:t>
            </w:r>
            <w:r w:rsidR="00403AC5">
              <w:rPr>
                <w:szCs w:val="18"/>
              </w:rPr>
              <w:t xml:space="preserve"> </w:t>
            </w:r>
            <w:bookmarkStart w:id="12" w:name="bmkProposedNotificationDate"/>
            <w:r w:rsidR="00403AC5">
              <w:rPr>
                <w:szCs w:val="18"/>
              </w:rPr>
              <w:t>15 février 2023</w:t>
            </w:r>
            <w:bookmarkEnd w:id="12"/>
          </w:p>
        </w:tc>
      </w:tr>
      <w:tr w:rsidR="00587ED5" w14:paraId="4C91B97D" w14:textId="77777777" w:rsidTr="00D5254C">
        <w:tc>
          <w:tcPr>
            <w:tcW w:w="851" w:type="dxa"/>
            <w:shd w:val="clear" w:color="auto" w:fill="auto"/>
          </w:tcPr>
          <w:p w14:paraId="2A7C8DC6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13" w:name="bmkRsnNotifiedMeasureEntersIntoForce"/>
            <w:r w:rsidRPr="0096642E">
              <w:rPr>
                <w:szCs w:val="18"/>
              </w:rPr>
              <w:t>X</w:t>
            </w:r>
            <w:bookmarkEnd w:id="13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57C0F2" w14:textId="77777777" w:rsidR="00B664D8" w:rsidRPr="00B664D8" w:rsidRDefault="00CC2706" w:rsidP="00B664D8">
            <w:pPr>
              <w:spacing w:before="60" w:after="60"/>
              <w:rPr>
                <w:lang w:val="fr-CH"/>
              </w:rPr>
            </w:pPr>
            <w:r w:rsidRPr="0020277D">
              <w:rPr>
                <w:szCs w:val="18"/>
              </w:rPr>
              <w:t xml:space="preserve">Entrée en vigueur de la mesure notifiée </w:t>
            </w:r>
            <w:r>
              <w:rPr>
                <w:szCs w:val="18"/>
              </w:rPr>
              <w:t>–</w:t>
            </w:r>
            <w:r w:rsidRPr="0020277D">
              <w:rPr>
                <w:szCs w:val="18"/>
              </w:rPr>
              <w:t xml:space="preserve"> date: </w:t>
            </w:r>
            <w:bookmarkStart w:id="14" w:name="bmkProposedEntryIntoForceDate"/>
            <w:r w:rsidRPr="0020277D">
              <w:rPr>
                <w:szCs w:val="18"/>
              </w:rPr>
              <w:t>15 février 2023</w:t>
            </w:r>
            <w:bookmarkEnd w:id="14"/>
          </w:p>
        </w:tc>
      </w:tr>
      <w:tr w:rsidR="00587ED5" w14:paraId="38177DF7" w14:textId="77777777" w:rsidTr="00D5254C">
        <w:tc>
          <w:tcPr>
            <w:tcW w:w="851" w:type="dxa"/>
            <w:shd w:val="clear" w:color="auto" w:fill="auto"/>
          </w:tcPr>
          <w:p w14:paraId="0D85C562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15" w:name="bmkRsnTextOfFinalMeasureAvailable"/>
            <w:r w:rsidRPr="0096642E">
              <w:rPr>
                <w:szCs w:val="18"/>
              </w:rPr>
              <w:t>X</w:t>
            </w:r>
            <w:bookmarkEnd w:id="15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F1F354" w14:textId="77777777" w:rsidR="00B664D8" w:rsidRPr="00B664D8" w:rsidRDefault="00CC2706" w:rsidP="00545014">
            <w:pPr>
              <w:spacing w:before="60" w:after="120"/>
              <w:rPr>
                <w:lang w:val="fr-CH"/>
              </w:rPr>
            </w:pPr>
            <w:r>
              <w:rPr>
                <w:szCs w:val="18"/>
              </w:rPr>
              <w:t>Accès au</w:t>
            </w:r>
            <w:r w:rsidRPr="0020277D">
              <w:rPr>
                <w:szCs w:val="18"/>
              </w:rPr>
              <w:t xml:space="preserve"> texte final de la mesure</w:t>
            </w:r>
            <w:bookmarkStart w:id="16" w:name="_Ref40866948"/>
            <w:r>
              <w:rPr>
                <w:rStyle w:val="FootnoteReference"/>
                <w:szCs w:val="18"/>
              </w:rPr>
              <w:footnoteReference w:customMarkFollows="1" w:id="1"/>
              <w:t>1</w:t>
            </w:r>
            <w:bookmarkEnd w:id="16"/>
            <w:r w:rsidRPr="0020277D">
              <w:rPr>
                <w:szCs w:val="18"/>
              </w:rPr>
              <w:t>:</w:t>
            </w:r>
            <w:r w:rsidR="00403AC5">
              <w:rPr>
                <w:szCs w:val="18"/>
              </w:rPr>
              <w:t xml:space="preserve"> </w:t>
            </w:r>
            <w:bookmarkStart w:id="17" w:name="bmkFinalMeasure"/>
          </w:p>
          <w:p w14:paraId="6010B63B" w14:textId="77777777" w:rsidR="00403AC5" w:rsidRDefault="00D03AE2" w:rsidP="00545014">
            <w:pPr>
              <w:spacing w:before="120" w:after="120"/>
              <w:rPr>
                <w:szCs w:val="18"/>
              </w:rPr>
            </w:pPr>
            <w:hyperlink r:id="rId8" w:tgtFrame="_blank" w:history="1">
              <w:r w:rsidR="00CC2706">
                <w:rPr>
                  <w:color w:val="0000FF"/>
                  <w:szCs w:val="18"/>
                  <w:u w:val="single"/>
                </w:rPr>
                <w:t>https://canadagazette.gc.ca/rp-pr/p2/2023/2023-02-15/html/sor-dors18-eng.html</w:t>
              </w:r>
            </w:hyperlink>
          </w:p>
          <w:p w14:paraId="7C2BD1AB" w14:textId="77777777" w:rsidR="00403AC5" w:rsidRDefault="00D03AE2" w:rsidP="00545014">
            <w:pPr>
              <w:spacing w:before="120" w:after="120"/>
              <w:rPr>
                <w:szCs w:val="18"/>
              </w:rPr>
            </w:pPr>
            <w:hyperlink r:id="rId9" w:tgtFrame="_blank" w:history="1">
              <w:r w:rsidR="00CC2706">
                <w:rPr>
                  <w:color w:val="0000FF"/>
                  <w:szCs w:val="18"/>
                  <w:u w:val="single"/>
                </w:rPr>
                <w:t>https://canadagazette.gc.ca/rp-pr/p2/2023/2023-02-15/html/sor-dors18-fra.html</w:t>
              </w:r>
            </w:hyperlink>
            <w:bookmarkEnd w:id="17"/>
          </w:p>
        </w:tc>
      </w:tr>
      <w:tr w:rsidR="00587ED5" w14:paraId="391CFDF7" w14:textId="77777777" w:rsidTr="00D5254C">
        <w:tc>
          <w:tcPr>
            <w:tcW w:w="851" w:type="dxa"/>
            <w:shd w:val="clear" w:color="auto" w:fill="auto"/>
          </w:tcPr>
          <w:p w14:paraId="7848357C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18" w:name="bmkRsnWithdrawalOfProposedRegulation"/>
            <w:r w:rsidRPr="0096642E">
              <w:rPr>
                <w:szCs w:val="18"/>
              </w:rPr>
              <w:t> </w:t>
            </w:r>
            <w:bookmarkEnd w:id="18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38BE33" w14:textId="77777777" w:rsidR="00B664D8" w:rsidRPr="0020277D" w:rsidRDefault="00CC2706" w:rsidP="00545014">
            <w:pPr>
              <w:pStyle w:val="ListBullet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20277D">
              <w:rPr>
                <w:szCs w:val="18"/>
              </w:rPr>
              <w:t xml:space="preserve">Retrait ou abrogation de la mesure notifiée </w:t>
            </w:r>
            <w:r>
              <w:rPr>
                <w:szCs w:val="18"/>
              </w:rPr>
              <w:t>–</w:t>
            </w:r>
            <w:r w:rsidRPr="0020277D">
              <w:rPr>
                <w:szCs w:val="18"/>
              </w:rPr>
              <w:t xml:space="preserve"> date:</w:t>
            </w:r>
            <w:r w:rsidR="00403AC5">
              <w:rPr>
                <w:szCs w:val="18"/>
              </w:rPr>
              <w:t xml:space="preserve"> </w:t>
            </w:r>
            <w:bookmarkStart w:id="19" w:name="bmkWithdrawalDate"/>
            <w:bookmarkEnd w:id="19"/>
          </w:p>
          <w:p w14:paraId="6CE57095" w14:textId="77777777" w:rsidR="00B664D8" w:rsidRPr="00B664D8" w:rsidRDefault="00CC2706" w:rsidP="00545014">
            <w:pPr>
              <w:spacing w:before="60" w:after="60"/>
              <w:rPr>
                <w:lang w:val="fr-CH"/>
              </w:rPr>
            </w:pPr>
            <w:r w:rsidRPr="0020277D">
              <w:rPr>
                <w:szCs w:val="18"/>
              </w:rPr>
              <w:t xml:space="preserve">Cote pertinente si la mesure </w:t>
            </w:r>
            <w:r>
              <w:rPr>
                <w:szCs w:val="18"/>
              </w:rPr>
              <w:t>fait l'objet d'une nouvelle notification</w:t>
            </w:r>
            <w:r w:rsidRPr="0020277D">
              <w:rPr>
                <w:szCs w:val="18"/>
              </w:rPr>
              <w:t>:</w:t>
            </w:r>
            <w:r w:rsidR="00403AC5">
              <w:rPr>
                <w:szCs w:val="18"/>
              </w:rPr>
              <w:t xml:space="preserve"> </w:t>
            </w:r>
            <w:bookmarkStart w:id="20" w:name="bmkRelevantSymbol"/>
            <w:bookmarkEnd w:id="20"/>
          </w:p>
        </w:tc>
      </w:tr>
      <w:tr w:rsidR="00587ED5" w14:paraId="6E142921" w14:textId="77777777" w:rsidTr="00D5254C">
        <w:tc>
          <w:tcPr>
            <w:tcW w:w="851" w:type="dxa"/>
            <w:shd w:val="clear" w:color="auto" w:fill="auto"/>
          </w:tcPr>
          <w:p w14:paraId="2847ADB2" w14:textId="77777777" w:rsidR="00B664D8" w:rsidRPr="0096642E" w:rsidRDefault="00CC2706" w:rsidP="00B664D8">
            <w:pPr>
              <w:spacing w:before="60" w:after="60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21" w:name="bmkRsnModificationOfContent"/>
            <w:r w:rsidRPr="0096642E">
              <w:rPr>
                <w:szCs w:val="18"/>
              </w:rPr>
              <w:t> </w:t>
            </w:r>
            <w:bookmarkEnd w:id="21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DF4BA5" w14:textId="77777777" w:rsidR="00B664D8" w:rsidRPr="0020277D" w:rsidRDefault="00CC2706" w:rsidP="006E0AD6">
            <w:pPr>
              <w:pStyle w:val="ListBullet"/>
              <w:numPr>
                <w:ilvl w:val="0"/>
                <w:numId w:val="0"/>
              </w:numPr>
              <w:spacing w:before="60" w:after="60"/>
              <w:ind w:left="7" w:hanging="7"/>
              <w:rPr>
                <w:szCs w:val="18"/>
              </w:rPr>
            </w:pPr>
            <w:r w:rsidRPr="0020277D">
              <w:rPr>
                <w:szCs w:val="18"/>
              </w:rPr>
              <w:t>Modification de la teneur ou du champ d'application de la mesure notifiée</w:t>
            </w:r>
            <w:r w:rsidR="00D11917">
              <w:rPr>
                <w:szCs w:val="18"/>
              </w:rPr>
              <w:t xml:space="preserve"> et accès au texte</w:t>
            </w:r>
            <w:r w:rsidR="00D11917">
              <w:rPr>
                <w:szCs w:val="18"/>
                <w:vertAlign w:val="superscript"/>
              </w:rPr>
              <w:t>1</w:t>
            </w:r>
            <w:r w:rsidR="00206130">
              <w:t xml:space="preserve">: </w:t>
            </w:r>
            <w:bookmarkStart w:id="22" w:name="bmkModificationOfContent"/>
            <w:bookmarkEnd w:id="22"/>
          </w:p>
          <w:p w14:paraId="7165EBCE" w14:textId="77777777" w:rsidR="00B664D8" w:rsidRPr="00B664D8" w:rsidRDefault="00CC2706" w:rsidP="00B664D8">
            <w:pPr>
              <w:spacing w:before="60" w:after="60"/>
              <w:rPr>
                <w:lang w:val="fr-CH"/>
              </w:rPr>
            </w:pPr>
            <w:r w:rsidRPr="0020277D">
              <w:rPr>
                <w:szCs w:val="18"/>
              </w:rPr>
              <w:t>Nouveau délai pour la présentation des observations (le cas échéant):</w:t>
            </w:r>
            <w:r w:rsidR="00403AC5">
              <w:rPr>
                <w:szCs w:val="18"/>
              </w:rPr>
              <w:t xml:space="preserve"> </w:t>
            </w:r>
            <w:bookmarkStart w:id="23" w:name="bmkNewCommentPeriod"/>
            <w:bookmarkEnd w:id="23"/>
          </w:p>
        </w:tc>
      </w:tr>
      <w:tr w:rsidR="00587ED5" w14:paraId="4F1FB918" w14:textId="77777777" w:rsidTr="00D5254C">
        <w:tc>
          <w:tcPr>
            <w:tcW w:w="851" w:type="dxa"/>
            <w:shd w:val="clear" w:color="auto" w:fill="auto"/>
          </w:tcPr>
          <w:p w14:paraId="167ADB64" w14:textId="77777777" w:rsidR="00B664D8" w:rsidRPr="0096642E" w:rsidRDefault="00CC2706" w:rsidP="00B664D8">
            <w:pPr>
              <w:spacing w:before="60" w:after="60"/>
              <w:ind w:left="567" w:hanging="567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24" w:name="bmkRsnInterpretativeGuidanceIssued"/>
            <w:r w:rsidRPr="0096642E">
              <w:rPr>
                <w:szCs w:val="18"/>
              </w:rPr>
              <w:t> </w:t>
            </w:r>
            <w:bookmarkEnd w:id="24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3F3D4F" w14:textId="77777777" w:rsidR="00B664D8" w:rsidRPr="00B664D8" w:rsidRDefault="00CC2706" w:rsidP="00545014">
            <w:pPr>
              <w:pStyle w:val="ListBullet"/>
              <w:numPr>
                <w:ilvl w:val="0"/>
                <w:numId w:val="0"/>
              </w:numPr>
              <w:spacing w:before="60" w:after="60"/>
              <w:rPr>
                <w:lang w:val="fr-CH"/>
              </w:rPr>
            </w:pPr>
            <w:r>
              <w:rPr>
                <w:szCs w:val="18"/>
              </w:rPr>
              <w:t>Publication de directives d'interprétation et accès au texte</w:t>
            </w:r>
            <w:r w:rsidR="003042A7" w:rsidRPr="003042A7">
              <w:rPr>
                <w:szCs w:val="18"/>
                <w:vertAlign w:val="superscript"/>
              </w:rPr>
              <w:fldChar w:fldCharType="begin"/>
            </w:r>
            <w:r w:rsidR="003042A7" w:rsidRPr="003042A7">
              <w:rPr>
                <w:szCs w:val="18"/>
                <w:vertAlign w:val="superscript"/>
              </w:rPr>
              <w:instrText xml:space="preserve"> NOTEREF _Ref40866948 \h </w:instrText>
            </w:r>
            <w:r w:rsidR="003042A7">
              <w:rPr>
                <w:szCs w:val="18"/>
                <w:vertAlign w:val="superscript"/>
              </w:rPr>
              <w:instrText xml:space="preserve"> \* MERGEFORMAT </w:instrText>
            </w:r>
            <w:r w:rsidR="003042A7" w:rsidRPr="003042A7">
              <w:rPr>
                <w:szCs w:val="18"/>
                <w:vertAlign w:val="superscript"/>
              </w:rPr>
            </w:r>
            <w:r w:rsidR="003042A7" w:rsidRPr="003042A7">
              <w:rPr>
                <w:szCs w:val="18"/>
                <w:vertAlign w:val="superscript"/>
              </w:rPr>
              <w:fldChar w:fldCharType="separate"/>
            </w:r>
            <w:r w:rsidR="003042A7" w:rsidRPr="003042A7">
              <w:rPr>
                <w:vertAlign w:val="superscript"/>
              </w:rPr>
              <w:t>1</w:t>
            </w:r>
            <w:r w:rsidR="003042A7" w:rsidRPr="003042A7">
              <w:rPr>
                <w:szCs w:val="18"/>
                <w:vertAlign w:val="superscript"/>
              </w:rPr>
              <w:fldChar w:fldCharType="end"/>
            </w:r>
            <w:r w:rsidRPr="0020277D">
              <w:rPr>
                <w:szCs w:val="18"/>
              </w:rPr>
              <w:t>:</w:t>
            </w:r>
            <w:r w:rsidR="003F52AF">
              <w:rPr>
                <w:szCs w:val="18"/>
              </w:rPr>
              <w:t xml:space="preserve"> </w:t>
            </w:r>
            <w:bookmarkStart w:id="25" w:name="bmkInterpretativeGuidance"/>
            <w:bookmarkEnd w:id="25"/>
          </w:p>
        </w:tc>
      </w:tr>
      <w:tr w:rsidR="00587ED5" w14:paraId="77DD1BCB" w14:textId="77777777" w:rsidTr="00D5254C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0CACCF" w14:textId="77777777" w:rsidR="00B664D8" w:rsidRPr="0096642E" w:rsidRDefault="00CC2706" w:rsidP="00B664D8">
            <w:pPr>
              <w:spacing w:before="60" w:after="60"/>
              <w:ind w:left="567" w:hanging="567"/>
              <w:rPr>
                <w:szCs w:val="18"/>
              </w:rPr>
            </w:pPr>
            <w:r w:rsidRPr="0096642E">
              <w:rPr>
                <w:szCs w:val="18"/>
              </w:rPr>
              <w:t>[</w:t>
            </w:r>
            <w:bookmarkStart w:id="26" w:name="bmkRsnOther"/>
            <w:r w:rsidRPr="0096642E">
              <w:rPr>
                <w:szCs w:val="18"/>
              </w:rPr>
              <w:t> </w:t>
            </w:r>
            <w:bookmarkEnd w:id="26"/>
            <w:r w:rsidRPr="0096642E">
              <w:rPr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44E3892" w14:textId="77777777" w:rsidR="00B664D8" w:rsidRPr="002F663C" w:rsidRDefault="00CC2706" w:rsidP="00545014">
            <w:pPr>
              <w:spacing w:before="60" w:after="60"/>
            </w:pPr>
            <w:r w:rsidRPr="0020277D">
              <w:rPr>
                <w:szCs w:val="18"/>
              </w:rPr>
              <w:t>Autres:</w:t>
            </w:r>
            <w:r w:rsidR="00977F26">
              <w:rPr>
                <w:szCs w:val="18"/>
              </w:rPr>
              <w:t xml:space="preserve"> </w:t>
            </w:r>
            <w:bookmarkStart w:id="27" w:name="bmkReasonOtherText"/>
            <w:bookmarkEnd w:id="27"/>
          </w:p>
        </w:tc>
      </w:tr>
    </w:tbl>
    <w:p w14:paraId="7880242B" w14:textId="77777777" w:rsidR="002A15F6" w:rsidRPr="00DC417E" w:rsidRDefault="002A15F6" w:rsidP="002A15F6"/>
    <w:p w14:paraId="66F87556" w14:textId="77777777" w:rsidR="00316410" w:rsidRDefault="00CC2706" w:rsidP="003677BA">
      <w:pPr>
        <w:spacing w:after="120"/>
      </w:pPr>
      <w:r w:rsidRPr="00DC417E">
        <w:rPr>
          <w:b/>
          <w:bCs/>
        </w:rPr>
        <w:t>Description:</w:t>
      </w:r>
      <w:r w:rsidRPr="00D14904">
        <w:rPr>
          <w:bCs/>
        </w:rPr>
        <w:t xml:space="preserve"> </w:t>
      </w:r>
      <w:bookmarkStart w:id="28" w:name="bmkNotifiedDocumentTitle"/>
      <w:r w:rsidRPr="00D14904">
        <w:rPr>
          <w:bCs/>
        </w:rPr>
        <w:t xml:space="preserve">Le règlement proposé, notifié dans le document G / TBT / N / CAN / 587 (daté du 14 mai 2019), a été adopté et publié le 15 février 2023, sous le titre </w:t>
      </w:r>
      <w:r w:rsidRPr="00D14904">
        <w:rPr>
          <w:bCs/>
          <w:i/>
          <w:iCs/>
        </w:rPr>
        <w:t>Règlement modifiant certains règlements concernant la vente de drogues (urgences en matière de santé touchant le public ou les Forces armées canadiennes).</w:t>
      </w:r>
    </w:p>
    <w:p w14:paraId="64BA5DD9" w14:textId="77777777" w:rsidR="00D94D6C" w:rsidRPr="00D14904" w:rsidRDefault="00CC2706" w:rsidP="003677BA">
      <w:pPr>
        <w:spacing w:before="120" w:after="120"/>
        <w:rPr>
          <w:bCs/>
        </w:rPr>
      </w:pPr>
      <w:r w:rsidRPr="00D14904">
        <w:rPr>
          <w:bCs/>
        </w:rPr>
        <w:t xml:space="preserve">Ce règlement est entré en vigueur le 15 février 2023, jour de sa publication dans la Partie II de la </w:t>
      </w:r>
      <w:r w:rsidRPr="00D14904">
        <w:rPr>
          <w:bCs/>
          <w:i/>
          <w:iCs/>
        </w:rPr>
        <w:t>Gazette du Canada</w:t>
      </w:r>
      <w:r w:rsidRPr="00D14904">
        <w:rPr>
          <w:bCs/>
        </w:rPr>
        <w:t>.</w:t>
      </w:r>
    </w:p>
    <w:p w14:paraId="5CAF4677" w14:textId="77777777" w:rsidR="00D94D6C" w:rsidRPr="00D14904" w:rsidRDefault="00CC2706" w:rsidP="003677BA">
      <w:pPr>
        <w:spacing w:before="120" w:after="120"/>
        <w:rPr>
          <w:bCs/>
        </w:rPr>
      </w:pPr>
      <w:r w:rsidRPr="00D14904">
        <w:rPr>
          <w:bCs/>
        </w:rPr>
        <w:t xml:space="preserve">Le règlement crée un nouveau titre (Titre 11) dans le </w:t>
      </w:r>
      <w:r w:rsidRPr="00D14904">
        <w:rPr>
          <w:bCs/>
          <w:i/>
          <w:iCs/>
        </w:rPr>
        <w:t>Règlement sur les aliments et drogues</w:t>
      </w:r>
      <w:r w:rsidRPr="00D14904">
        <w:rPr>
          <w:bCs/>
        </w:rPr>
        <w:t xml:space="preserve">. Ce titre fournit un mécanisme réglementaire approprié qui facilitera l'accès aux médicaments pour les activités de préparation et d'intervention d'urgence proposées par les responsables de la santé </w:t>
      </w:r>
      <w:r w:rsidRPr="00D14904">
        <w:rPr>
          <w:bCs/>
        </w:rPr>
        <w:lastRenderedPageBreak/>
        <w:t>publique, en autorisant la présentation d'une demande au ministre de la Santé pour autoriser la vente d'une quantité déterminée d'un médicament qui n'est autrement pas autorisé au Canada pour:</w:t>
      </w:r>
    </w:p>
    <w:p w14:paraId="4B2F2E01" w14:textId="77777777" w:rsidR="00D94D6C" w:rsidRPr="00D14904" w:rsidRDefault="00CC2706" w:rsidP="003677BA">
      <w:pPr>
        <w:numPr>
          <w:ilvl w:val="0"/>
          <w:numId w:val="19"/>
        </w:numPr>
        <w:spacing w:before="120" w:after="120"/>
        <w:rPr>
          <w:bCs/>
        </w:rPr>
      </w:pPr>
      <w:r w:rsidRPr="00D14904">
        <w:rPr>
          <w:bCs/>
        </w:rPr>
        <w:t>une utilisation en cas d'urgence immédiate de santé publique ou militaire ; et</w:t>
      </w:r>
    </w:p>
    <w:p w14:paraId="6C04AFFB" w14:textId="77777777" w:rsidR="00D94D6C" w:rsidRPr="00D14904" w:rsidRDefault="00CC2706" w:rsidP="003677BA">
      <w:pPr>
        <w:numPr>
          <w:ilvl w:val="0"/>
          <w:numId w:val="19"/>
        </w:numPr>
        <w:spacing w:before="120" w:after="120"/>
        <w:rPr>
          <w:bCs/>
        </w:rPr>
      </w:pPr>
      <w:r w:rsidRPr="00D14904">
        <w:rPr>
          <w:bCs/>
        </w:rPr>
        <w:t>une mise en réserve en prévision d'une urgence de santé publique ou militaire.</w:t>
      </w:r>
    </w:p>
    <w:p w14:paraId="0AE0254D" w14:textId="77777777" w:rsidR="00D94D6C" w:rsidRPr="00D14904" w:rsidRDefault="00CC2706" w:rsidP="003677BA">
      <w:pPr>
        <w:spacing w:before="120" w:after="120"/>
        <w:rPr>
          <w:bCs/>
        </w:rPr>
      </w:pPr>
      <w:r w:rsidRPr="00D14904">
        <w:rPr>
          <w:bCs/>
        </w:rPr>
        <w:t xml:space="preserve">De plus, le règlement comprend également des modifications corrélatives au </w:t>
      </w:r>
      <w:r w:rsidRPr="00D14904">
        <w:rPr>
          <w:bCs/>
          <w:i/>
          <w:iCs/>
        </w:rPr>
        <w:t>Règlement sur les produits de santé naturels</w:t>
      </w:r>
      <w:r w:rsidRPr="00D14904">
        <w:rPr>
          <w:bCs/>
        </w:rPr>
        <w:t xml:space="preserve"> et au </w:t>
      </w:r>
      <w:r w:rsidRPr="00D14904">
        <w:rPr>
          <w:bCs/>
          <w:i/>
          <w:iCs/>
        </w:rPr>
        <w:t xml:space="preserve">Règlement sur les certificats de protection </w:t>
      </w:r>
      <w:r w:rsidRPr="00D14904">
        <w:rPr>
          <w:bCs/>
        </w:rPr>
        <w:t>supplémentaire en vertu de la</w:t>
      </w:r>
      <w:r w:rsidRPr="00D14904">
        <w:rPr>
          <w:bCs/>
          <w:i/>
          <w:iCs/>
        </w:rPr>
        <w:t xml:space="preserve"> Loi sur les brevets</w:t>
      </w:r>
      <w:r w:rsidRPr="00D14904">
        <w:rPr>
          <w:bCs/>
        </w:rPr>
        <w:t>.</w:t>
      </w:r>
      <w:bookmarkEnd w:id="28"/>
    </w:p>
    <w:p w14:paraId="5403AADA" w14:textId="77777777" w:rsidR="00316410" w:rsidRPr="00316410" w:rsidRDefault="00CC2706" w:rsidP="00316410">
      <w:pPr>
        <w:jc w:val="center"/>
      </w:pPr>
      <w:r>
        <w:rPr>
          <w:b/>
        </w:rPr>
        <w:t>__________</w:t>
      </w:r>
    </w:p>
    <w:sectPr w:rsidR="00316410" w:rsidRPr="00316410" w:rsidSect="00CA6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continuous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8D87" w14:textId="77777777" w:rsidR="00A33758" w:rsidRDefault="00CC2706">
      <w:r>
        <w:separator/>
      </w:r>
    </w:p>
  </w:endnote>
  <w:endnote w:type="continuationSeparator" w:id="0">
    <w:p w14:paraId="1A797416" w14:textId="77777777" w:rsidR="00A33758" w:rsidRDefault="00CC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D019" w14:textId="77777777" w:rsidR="00E029B9" w:rsidRPr="004B0033" w:rsidRDefault="00CC2706" w:rsidP="004B0033">
    <w:pPr>
      <w:pStyle w:val="Footer"/>
    </w:pPr>
    <w:r>
      <w:t xml:space="preserve"> </w:t>
    </w:r>
  </w:p>
  <w:p w14:paraId="7A6A0B52" w14:textId="77777777" w:rsidR="00EE6484" w:rsidRDefault="00EE64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876F" w14:textId="77777777" w:rsidR="00E029B9" w:rsidRPr="004B0033" w:rsidRDefault="00CC2706" w:rsidP="004B0033">
    <w:pPr>
      <w:pStyle w:val="Footer"/>
    </w:pPr>
    <w:r>
      <w:t xml:space="preserve"> </w:t>
    </w:r>
  </w:p>
  <w:p w14:paraId="5DFF87FC" w14:textId="77777777" w:rsidR="00EE6484" w:rsidRDefault="00EE64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5954" w14:textId="77777777" w:rsidR="00E029B9" w:rsidRPr="0098572C" w:rsidRDefault="00CC2706" w:rsidP="0098572C">
    <w:pPr>
      <w:pStyle w:val="Footer"/>
    </w:pPr>
    <w:bookmarkStart w:id="38" w:name="_Hlk23414682"/>
    <w:bookmarkStart w:id="39" w:name="_Hlk23414683"/>
    <w:r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49A9" w14:textId="77777777" w:rsidR="009B0607" w:rsidRDefault="00CC2706" w:rsidP="00ED54E0">
      <w:bookmarkStart w:id="0" w:name="_Hlk23414684"/>
      <w:bookmarkStart w:id="1" w:name="_Hlk23414685"/>
      <w:r>
        <w:separator/>
      </w:r>
      <w:bookmarkEnd w:id="0"/>
      <w:bookmarkEnd w:id="1"/>
    </w:p>
  </w:footnote>
  <w:footnote w:type="continuationSeparator" w:id="0">
    <w:p w14:paraId="6903721C" w14:textId="77777777" w:rsidR="009B0607" w:rsidRDefault="00CC2706" w:rsidP="00ED54E0">
      <w:bookmarkStart w:id="2" w:name="_Hlk23414686"/>
      <w:bookmarkStart w:id="3" w:name="_Hlk23414687"/>
      <w:r>
        <w:continuationSeparator/>
      </w:r>
      <w:bookmarkEnd w:id="2"/>
      <w:bookmarkEnd w:id="3"/>
    </w:p>
    <w:p w14:paraId="443D9DDF" w14:textId="77777777" w:rsidR="009B0607" w:rsidRDefault="009B0607"/>
    <w:p w14:paraId="0ADE5DF7" w14:textId="77777777" w:rsidR="009B0607" w:rsidRDefault="00CC2706">
      <w:r>
        <w:separator/>
      </w:r>
    </w:p>
  </w:footnote>
  <w:footnote w:id="1">
    <w:p w14:paraId="6A19972D" w14:textId="77777777" w:rsidR="00B664D8" w:rsidRPr="00DC417E" w:rsidRDefault="00CC2706" w:rsidP="002A15F6">
      <w:pPr>
        <w:pStyle w:val="FootnoteText"/>
      </w:pPr>
      <w:r>
        <w:rPr>
          <w:rStyle w:val="FootnoteReference"/>
        </w:rPr>
        <w:t>1</w:t>
      </w:r>
      <w:r w:rsidRPr="00DC417E">
        <w:t xml:space="preserve"> </w:t>
      </w:r>
      <w:r w:rsidR="00F31704" w:rsidRPr="00F31704">
        <w:t>Il est possible d'indiquer une adresse de site Web, de joindre un fichier en format pdf ou de fournir tout autre renseignement permettant d'accéder au texte de la mesure finale</w:t>
      </w:r>
      <w:r w:rsidR="009573D8">
        <w:t>/</w:t>
      </w:r>
      <w:r w:rsidR="005F3AA1">
        <w:t>m</w:t>
      </w:r>
      <w:r w:rsidR="005F3AA1" w:rsidRPr="0020277D">
        <w:t xml:space="preserve">odification de la </w:t>
      </w:r>
      <w:r w:rsidR="00E65E3F" w:rsidRPr="00E65E3F">
        <w:t xml:space="preserve">mesure </w:t>
      </w:r>
      <w:r w:rsidR="00F31704" w:rsidRPr="00F31704">
        <w:t>et/ou aux directives d'interprétation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8DA2" w14:textId="77777777" w:rsidR="004B0033" w:rsidRDefault="00CC2706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_Hlk34992164"/>
    <w:bookmarkStart w:id="30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9"/>
    <w:bookmarkEnd w:id="30"/>
  </w:p>
  <w:p w14:paraId="3CA960F6" w14:textId="77777777" w:rsidR="00CE40CA" w:rsidRPr="004B0033" w:rsidRDefault="00CE40CA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9806E" w14:textId="77777777" w:rsidR="004B0033" w:rsidRPr="004B0033" w:rsidRDefault="00CC2706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0033">
      <w:t xml:space="preserve">- </w:t>
    </w:r>
    <w:r w:rsidRPr="004B0033">
      <w:fldChar w:fldCharType="begin"/>
    </w:r>
    <w:r w:rsidRPr="004B0033">
      <w:instrText xml:space="preserve"> PAGE </w:instrText>
    </w:r>
    <w:r w:rsidRPr="004B0033">
      <w:fldChar w:fldCharType="separate"/>
    </w:r>
    <w:r w:rsidRPr="004B0033">
      <w:rPr>
        <w:noProof/>
      </w:rPr>
      <w:t>2</w:t>
    </w:r>
    <w:r w:rsidRPr="004B0033">
      <w:fldChar w:fldCharType="end"/>
    </w:r>
    <w:r w:rsidRPr="004B0033">
      <w:t xml:space="preserve"> -</w:t>
    </w:r>
  </w:p>
  <w:p w14:paraId="26C0C53E" w14:textId="77777777" w:rsidR="0098572C" w:rsidRPr="004B0033" w:rsidRDefault="0098572C" w:rsidP="004B0033">
    <w:pPr>
      <w:pStyle w:val="Header"/>
      <w:tabs>
        <w:tab w:val="clear" w:pos="4513"/>
        <w:tab w:val="clear" w:pos="9027"/>
      </w:tabs>
      <w:jc w:val="center"/>
    </w:pPr>
  </w:p>
  <w:p w14:paraId="4C5BA7BA" w14:textId="77777777" w:rsidR="00EE6484" w:rsidRDefault="00EE64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53CB" w14:textId="77777777" w:rsidR="004B0033" w:rsidRPr="00CC2706" w:rsidRDefault="00CC2706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1" w:name="spsSymbolHeader"/>
    <w:r w:rsidRPr="00CC2706">
      <w:rPr>
        <w:lang w:val="en-GB"/>
      </w:rPr>
      <w:t>G/TBT/N/CAN/587/Add.2</w:t>
    </w:r>
    <w:bookmarkEnd w:id="31"/>
  </w:p>
  <w:p w14:paraId="790E6996" w14:textId="77777777" w:rsidR="004B0033" w:rsidRPr="00CC2706" w:rsidRDefault="004B0033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38F58D56" w14:textId="77777777" w:rsidR="004B0033" w:rsidRPr="004B0033" w:rsidRDefault="00CC2706" w:rsidP="004B00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0033">
      <w:t xml:space="preserve">- </w:t>
    </w:r>
    <w:r w:rsidRPr="004B0033">
      <w:fldChar w:fldCharType="begin"/>
    </w:r>
    <w:r w:rsidRPr="004B0033">
      <w:instrText xml:space="preserve"> PAGE </w:instrText>
    </w:r>
    <w:r w:rsidRPr="004B0033">
      <w:fldChar w:fldCharType="separate"/>
    </w:r>
    <w:r w:rsidRPr="004B0033">
      <w:rPr>
        <w:noProof/>
      </w:rPr>
      <w:t>2</w:t>
    </w:r>
    <w:r w:rsidRPr="004B0033">
      <w:fldChar w:fldCharType="end"/>
    </w:r>
    <w:r w:rsidRPr="004B0033">
      <w:t xml:space="preserve"> -</w:t>
    </w:r>
  </w:p>
  <w:p w14:paraId="3F3C012C" w14:textId="77777777" w:rsidR="0098572C" w:rsidRPr="004B0033" w:rsidRDefault="0098572C" w:rsidP="004B0033">
    <w:pPr>
      <w:pStyle w:val="Header"/>
      <w:tabs>
        <w:tab w:val="clear" w:pos="4513"/>
        <w:tab w:val="clear" w:pos="9027"/>
      </w:tabs>
      <w:jc w:val="center"/>
    </w:pPr>
  </w:p>
  <w:p w14:paraId="7C05C228" w14:textId="77777777" w:rsidR="00EE6484" w:rsidRDefault="00EE64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587ED5" w14:paraId="607CCF0B" w14:textId="77777777" w:rsidTr="0098572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19C3BA6" w14:textId="77777777" w:rsidR="0098572C" w:rsidRPr="0098572C" w:rsidRDefault="0098572C" w:rsidP="0098572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23414680"/>
          <w:bookmarkStart w:id="33" w:name="_Hlk2341468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A921A6" w14:textId="77777777" w:rsidR="0098572C" w:rsidRPr="0098572C" w:rsidRDefault="00CC2706" w:rsidP="0098572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r>
            <w:rPr>
              <w:rFonts w:eastAsia="Verdana" w:cs="Verdana"/>
              <w:b/>
              <w:color w:val="FF0000"/>
              <w:szCs w:val="18"/>
            </w:rPr>
            <w:t xml:space="preserve"> </w:t>
          </w:r>
        </w:p>
      </w:tc>
    </w:tr>
    <w:tr w:rsidR="00587ED5" w14:paraId="7348A801" w14:textId="77777777" w:rsidTr="0098572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F1FCEDC" w14:textId="77777777" w:rsidR="0098572C" w:rsidRPr="0098572C" w:rsidRDefault="00CC2706" w:rsidP="0098572C">
          <w:pPr>
            <w:jc w:val="left"/>
            <w:rPr>
              <w:rFonts w:eastAsia="Verdana" w:cs="Verdana"/>
              <w:szCs w:val="18"/>
            </w:rPr>
          </w:pPr>
          <w:r w:rsidRPr="0098572C">
            <w:rPr>
              <w:rFonts w:eastAsia="Verdana" w:cs="Verdana"/>
              <w:noProof/>
              <w:szCs w:val="18"/>
            </w:rPr>
            <w:drawing>
              <wp:inline distT="0" distB="0" distL="0" distR="0" wp14:anchorId="7A39BD41" wp14:editId="141E5117">
                <wp:extent cx="2376297" cy="720090"/>
                <wp:effectExtent l="0" t="0" r="5080" b="3810"/>
                <wp:docPr id="4" name="Imag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10475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297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24F9D0B" w14:textId="77777777" w:rsidR="0098572C" w:rsidRPr="0098572C" w:rsidRDefault="0098572C" w:rsidP="0098572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87ED5" w:rsidRPr="008E47C6" w14:paraId="638DABC5" w14:textId="77777777" w:rsidTr="0098572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6215B0" w14:textId="77777777" w:rsidR="0098572C" w:rsidRPr="0098572C" w:rsidRDefault="0098572C" w:rsidP="0098572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EE6ED5B" w14:textId="77777777" w:rsidR="00D02E2C" w:rsidRPr="00CC2706" w:rsidRDefault="00CC2706" w:rsidP="00D02E2C">
          <w:pPr>
            <w:jc w:val="right"/>
            <w:rPr>
              <w:b/>
              <w:szCs w:val="16"/>
              <w:lang w:val="en-GB"/>
            </w:rPr>
          </w:pPr>
          <w:bookmarkStart w:id="34" w:name="bmkSymbols"/>
          <w:r w:rsidRPr="00CC2706">
            <w:rPr>
              <w:b/>
              <w:szCs w:val="16"/>
              <w:lang w:val="en-GB"/>
            </w:rPr>
            <w:t>G/TBT/N/CAN/587/Add.2</w:t>
          </w:r>
          <w:bookmarkEnd w:id="34"/>
        </w:p>
        <w:p w14:paraId="5C2CB5E4" w14:textId="77777777" w:rsidR="004B0033" w:rsidRPr="00F62548" w:rsidRDefault="004B0033" w:rsidP="0098572C">
          <w:pPr>
            <w:jc w:val="right"/>
            <w:rPr>
              <w:b/>
              <w:szCs w:val="18"/>
              <w:lang w:val="en-GB"/>
            </w:rPr>
          </w:pPr>
        </w:p>
        <w:p w14:paraId="3A4AD301" w14:textId="77777777" w:rsidR="0098572C" w:rsidRPr="00F62548" w:rsidRDefault="0098572C" w:rsidP="0098572C">
          <w:pPr>
            <w:jc w:val="right"/>
            <w:rPr>
              <w:rFonts w:eastAsia="Verdana" w:cs="Verdana"/>
              <w:b/>
              <w:szCs w:val="18"/>
              <w:lang w:val="en-GB"/>
            </w:rPr>
          </w:pPr>
        </w:p>
      </w:tc>
    </w:tr>
    <w:tr w:rsidR="00587ED5" w14:paraId="7B9D3BFB" w14:textId="77777777" w:rsidTr="0098572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039FAC" w14:textId="77777777" w:rsidR="0098572C" w:rsidRPr="00F62548" w:rsidRDefault="0098572C" w:rsidP="0098572C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117409" w14:textId="7E33434E" w:rsidR="0098572C" w:rsidRPr="0098572C" w:rsidRDefault="00CC2706" w:rsidP="0098572C">
          <w:pPr>
            <w:jc w:val="right"/>
            <w:rPr>
              <w:rFonts w:eastAsia="Verdana" w:cs="Verdana"/>
              <w:szCs w:val="18"/>
            </w:rPr>
          </w:pPr>
          <w:bookmarkStart w:id="35" w:name="bmkDate"/>
          <w:bookmarkEnd w:id="35"/>
          <w:r>
            <w:rPr>
              <w:rFonts w:eastAsia="Verdana" w:cs="Verdana"/>
              <w:szCs w:val="18"/>
            </w:rPr>
            <w:t>16 février 2023</w:t>
          </w:r>
        </w:p>
      </w:tc>
    </w:tr>
    <w:tr w:rsidR="00587ED5" w14:paraId="1E7865BF" w14:textId="77777777" w:rsidTr="0098572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130DA9" w14:textId="4EF496C3" w:rsidR="0098572C" w:rsidRPr="0098572C" w:rsidRDefault="00CC2706" w:rsidP="0098572C">
          <w:pPr>
            <w:jc w:val="left"/>
            <w:rPr>
              <w:rFonts w:eastAsia="Verdana" w:cs="Verdana"/>
              <w:b/>
              <w:szCs w:val="18"/>
            </w:rPr>
          </w:pPr>
          <w:r w:rsidRPr="00EE6DEC">
            <w:rPr>
              <w:color w:val="FF0000"/>
              <w:szCs w:val="18"/>
            </w:rPr>
            <w:t>(</w:t>
          </w:r>
          <w:bookmarkStart w:id="36" w:name="bmkSerial"/>
          <w:bookmarkEnd w:id="36"/>
          <w:r>
            <w:rPr>
              <w:color w:val="FF0000"/>
              <w:szCs w:val="18"/>
            </w:rPr>
            <w:t>23-</w:t>
          </w:r>
          <w:r w:rsidR="008E47C6">
            <w:rPr>
              <w:color w:val="FF0000"/>
              <w:szCs w:val="18"/>
            </w:rPr>
            <w:t>1116</w:t>
          </w:r>
          <w:r w:rsidRPr="00EE6DEC"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FE171" w14:textId="77777777" w:rsidR="0098572C" w:rsidRPr="0098572C" w:rsidRDefault="00CC2706" w:rsidP="0098572C">
          <w:pPr>
            <w:jc w:val="right"/>
            <w:rPr>
              <w:rFonts w:eastAsia="Verdana" w:cs="Verdana"/>
              <w:szCs w:val="18"/>
            </w:rPr>
          </w:pPr>
          <w:r w:rsidRPr="0098572C">
            <w:rPr>
              <w:rFonts w:eastAsia="Verdana" w:cs="Verdana"/>
              <w:szCs w:val="18"/>
            </w:rPr>
            <w:t xml:space="preserve">Page: </w:t>
          </w:r>
          <w:r w:rsidRPr="0098572C">
            <w:rPr>
              <w:rFonts w:eastAsia="Verdana" w:cs="Verdana"/>
              <w:szCs w:val="18"/>
            </w:rPr>
            <w:fldChar w:fldCharType="begin"/>
          </w:r>
          <w:r w:rsidRPr="0098572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8572C">
            <w:rPr>
              <w:rFonts w:eastAsia="Verdana" w:cs="Verdana"/>
              <w:szCs w:val="18"/>
            </w:rPr>
            <w:fldChar w:fldCharType="separate"/>
          </w:r>
          <w:r w:rsidRPr="0098572C">
            <w:rPr>
              <w:rFonts w:eastAsia="Verdana" w:cs="Verdana"/>
              <w:noProof/>
              <w:szCs w:val="18"/>
            </w:rPr>
            <w:t>1</w:t>
          </w:r>
          <w:r w:rsidRPr="0098572C">
            <w:rPr>
              <w:rFonts w:eastAsia="Verdana" w:cs="Verdana"/>
              <w:szCs w:val="18"/>
            </w:rPr>
            <w:fldChar w:fldCharType="end"/>
          </w:r>
          <w:r w:rsidRPr="0098572C">
            <w:rPr>
              <w:rFonts w:eastAsia="Verdana" w:cs="Verdana"/>
              <w:szCs w:val="18"/>
            </w:rPr>
            <w:t>/</w:t>
          </w:r>
          <w:r w:rsidRPr="0098572C">
            <w:rPr>
              <w:rFonts w:eastAsia="Verdana" w:cs="Verdana"/>
              <w:szCs w:val="18"/>
            </w:rPr>
            <w:fldChar w:fldCharType="begin"/>
          </w:r>
          <w:r w:rsidRPr="0098572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8572C">
            <w:rPr>
              <w:rFonts w:eastAsia="Verdana" w:cs="Verdana"/>
              <w:szCs w:val="18"/>
            </w:rPr>
            <w:fldChar w:fldCharType="separate"/>
          </w:r>
          <w:r w:rsidRPr="0098572C">
            <w:rPr>
              <w:rFonts w:eastAsia="Verdana" w:cs="Verdana"/>
              <w:noProof/>
              <w:szCs w:val="18"/>
            </w:rPr>
            <w:t>3</w:t>
          </w:r>
          <w:r w:rsidRPr="0098572C">
            <w:rPr>
              <w:rFonts w:eastAsia="Verdana" w:cs="Verdana"/>
              <w:szCs w:val="18"/>
            </w:rPr>
            <w:fldChar w:fldCharType="end"/>
          </w:r>
        </w:p>
      </w:tc>
    </w:tr>
    <w:tr w:rsidR="00587ED5" w14:paraId="1B2B9212" w14:textId="77777777" w:rsidTr="0098572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E424FC" w14:textId="77777777" w:rsidR="0098572C" w:rsidRPr="0098572C" w:rsidRDefault="00CC2706" w:rsidP="00557059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Comité des obstacles techniques au commerce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A6B8DCB" w14:textId="758E8621" w:rsidR="0098572C" w:rsidRPr="0098572C" w:rsidRDefault="00CC2706" w:rsidP="0098572C">
          <w:pPr>
            <w:jc w:val="right"/>
            <w:rPr>
              <w:rFonts w:eastAsia="Verdana" w:cs="Verdana"/>
              <w:bCs/>
              <w:szCs w:val="18"/>
            </w:rPr>
          </w:pPr>
          <w:r w:rsidRPr="00EE6DEC">
            <w:rPr>
              <w:szCs w:val="18"/>
            </w:rPr>
            <w:t xml:space="preserve">Original: </w:t>
          </w:r>
          <w:bookmarkStart w:id="37" w:name="bmkOriginalLanguage"/>
          <w:r w:rsidRPr="00EE6DEC">
            <w:rPr>
              <w:szCs w:val="18"/>
            </w:rPr>
            <w:t>anglais</w:t>
          </w:r>
          <w:r w:rsidR="00D03AE2">
            <w:rPr>
              <w:szCs w:val="18"/>
            </w:rPr>
            <w:t>/</w:t>
          </w:r>
          <w:r w:rsidRPr="00EE6DEC">
            <w:rPr>
              <w:szCs w:val="18"/>
            </w:rPr>
            <w:t>français</w:t>
          </w:r>
          <w:bookmarkEnd w:id="37"/>
        </w:p>
      </w:tc>
    </w:tr>
    <w:bookmarkEnd w:id="32"/>
    <w:bookmarkEnd w:id="33"/>
  </w:tbl>
  <w:p w14:paraId="718F7089" w14:textId="77777777" w:rsidR="00E029B9" w:rsidRPr="0098572C" w:rsidRDefault="00E029B9" w:rsidP="00557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090001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4F921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C2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E8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C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4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B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C8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6B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4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322D7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B0AB60" w:tentative="1">
      <w:start w:val="1"/>
      <w:numFmt w:val="lowerLetter"/>
      <w:lvlText w:val="%2."/>
      <w:lvlJc w:val="left"/>
      <w:pPr>
        <w:ind w:left="1080" w:hanging="360"/>
      </w:pPr>
    </w:lvl>
    <w:lvl w:ilvl="2" w:tplc="2B3AD7AA" w:tentative="1">
      <w:start w:val="1"/>
      <w:numFmt w:val="lowerRoman"/>
      <w:lvlText w:val="%3."/>
      <w:lvlJc w:val="right"/>
      <w:pPr>
        <w:ind w:left="1800" w:hanging="180"/>
      </w:pPr>
    </w:lvl>
    <w:lvl w:ilvl="3" w:tplc="3F9823CE" w:tentative="1">
      <w:start w:val="1"/>
      <w:numFmt w:val="decimal"/>
      <w:lvlText w:val="%4."/>
      <w:lvlJc w:val="left"/>
      <w:pPr>
        <w:ind w:left="2520" w:hanging="360"/>
      </w:pPr>
    </w:lvl>
    <w:lvl w:ilvl="4" w:tplc="FD9E5A3E" w:tentative="1">
      <w:start w:val="1"/>
      <w:numFmt w:val="lowerLetter"/>
      <w:lvlText w:val="%5."/>
      <w:lvlJc w:val="left"/>
      <w:pPr>
        <w:ind w:left="3240" w:hanging="360"/>
      </w:pPr>
    </w:lvl>
    <w:lvl w:ilvl="5" w:tplc="7B20D704" w:tentative="1">
      <w:start w:val="1"/>
      <w:numFmt w:val="lowerRoman"/>
      <w:lvlText w:val="%6."/>
      <w:lvlJc w:val="right"/>
      <w:pPr>
        <w:ind w:left="3960" w:hanging="180"/>
      </w:pPr>
    </w:lvl>
    <w:lvl w:ilvl="6" w:tplc="4B987228" w:tentative="1">
      <w:start w:val="1"/>
      <w:numFmt w:val="decimal"/>
      <w:lvlText w:val="%7."/>
      <w:lvlJc w:val="left"/>
      <w:pPr>
        <w:ind w:left="4680" w:hanging="360"/>
      </w:pPr>
    </w:lvl>
    <w:lvl w:ilvl="7" w:tplc="0374D672" w:tentative="1">
      <w:start w:val="1"/>
      <w:numFmt w:val="lowerLetter"/>
      <w:lvlText w:val="%8."/>
      <w:lvlJc w:val="left"/>
      <w:pPr>
        <w:ind w:left="5400" w:hanging="360"/>
      </w:pPr>
    </w:lvl>
    <w:lvl w:ilvl="8" w:tplc="73DE88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366263">
    <w:abstractNumId w:val="9"/>
  </w:num>
  <w:num w:numId="2" w16cid:durableId="796216018">
    <w:abstractNumId w:val="7"/>
  </w:num>
  <w:num w:numId="3" w16cid:durableId="1217936709">
    <w:abstractNumId w:val="6"/>
  </w:num>
  <w:num w:numId="4" w16cid:durableId="1521505012">
    <w:abstractNumId w:val="5"/>
  </w:num>
  <w:num w:numId="5" w16cid:durableId="625284017">
    <w:abstractNumId w:val="4"/>
  </w:num>
  <w:num w:numId="6" w16cid:durableId="770273603">
    <w:abstractNumId w:val="13"/>
  </w:num>
  <w:num w:numId="7" w16cid:durableId="1076636138">
    <w:abstractNumId w:val="12"/>
  </w:num>
  <w:num w:numId="8" w16cid:durableId="757408173">
    <w:abstractNumId w:val="11"/>
  </w:num>
  <w:num w:numId="9" w16cid:durableId="1714620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3424601">
    <w:abstractNumId w:val="14"/>
  </w:num>
  <w:num w:numId="11" w16cid:durableId="1275749628">
    <w:abstractNumId w:val="8"/>
  </w:num>
  <w:num w:numId="12" w16cid:durableId="495196221">
    <w:abstractNumId w:val="3"/>
  </w:num>
  <w:num w:numId="13" w16cid:durableId="475802170">
    <w:abstractNumId w:val="2"/>
  </w:num>
  <w:num w:numId="14" w16cid:durableId="2086415175">
    <w:abstractNumId w:val="1"/>
  </w:num>
  <w:num w:numId="15" w16cid:durableId="1267347752">
    <w:abstractNumId w:val="0"/>
  </w:num>
  <w:num w:numId="16" w16cid:durableId="454761636">
    <w:abstractNumId w:val="10"/>
  </w:num>
  <w:num w:numId="17" w16cid:durableId="743599752">
    <w:abstractNumId w:val="11"/>
  </w:num>
  <w:num w:numId="18" w16cid:durableId="585767223">
    <w:abstractNumId w:val="11"/>
  </w:num>
  <w:num w:numId="19" w16cid:durableId="1143430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F6"/>
    <w:rsid w:val="0000554B"/>
    <w:rsid w:val="000106E0"/>
    <w:rsid w:val="000111BB"/>
    <w:rsid w:val="00022C0F"/>
    <w:rsid w:val="000272F6"/>
    <w:rsid w:val="000275F7"/>
    <w:rsid w:val="00037AC4"/>
    <w:rsid w:val="000423BF"/>
    <w:rsid w:val="0006479E"/>
    <w:rsid w:val="00094580"/>
    <w:rsid w:val="00095716"/>
    <w:rsid w:val="000A4076"/>
    <w:rsid w:val="000A4945"/>
    <w:rsid w:val="000B31E1"/>
    <w:rsid w:val="000E705E"/>
    <w:rsid w:val="0011356B"/>
    <w:rsid w:val="0013337F"/>
    <w:rsid w:val="00152495"/>
    <w:rsid w:val="00182B84"/>
    <w:rsid w:val="001946F2"/>
    <w:rsid w:val="001D0F5C"/>
    <w:rsid w:val="001D6997"/>
    <w:rsid w:val="001E0324"/>
    <w:rsid w:val="001E291F"/>
    <w:rsid w:val="0020277D"/>
    <w:rsid w:val="00206130"/>
    <w:rsid w:val="00225E42"/>
    <w:rsid w:val="00233408"/>
    <w:rsid w:val="002368A9"/>
    <w:rsid w:val="00237417"/>
    <w:rsid w:val="00251812"/>
    <w:rsid w:val="0027067B"/>
    <w:rsid w:val="002A12D4"/>
    <w:rsid w:val="002A15F6"/>
    <w:rsid w:val="002A15FB"/>
    <w:rsid w:val="002A6940"/>
    <w:rsid w:val="002E1A39"/>
    <w:rsid w:val="002E249B"/>
    <w:rsid w:val="002F663C"/>
    <w:rsid w:val="002F7D43"/>
    <w:rsid w:val="00302B2E"/>
    <w:rsid w:val="003042A7"/>
    <w:rsid w:val="00304385"/>
    <w:rsid w:val="00311BE2"/>
    <w:rsid w:val="00316410"/>
    <w:rsid w:val="00320249"/>
    <w:rsid w:val="00320A78"/>
    <w:rsid w:val="003273C0"/>
    <w:rsid w:val="003572B4"/>
    <w:rsid w:val="003616BF"/>
    <w:rsid w:val="003677BA"/>
    <w:rsid w:val="00371F2B"/>
    <w:rsid w:val="00383F10"/>
    <w:rsid w:val="003F0552"/>
    <w:rsid w:val="003F52AF"/>
    <w:rsid w:val="00403AC5"/>
    <w:rsid w:val="00423987"/>
    <w:rsid w:val="00426C5E"/>
    <w:rsid w:val="004551EC"/>
    <w:rsid w:val="00462060"/>
    <w:rsid w:val="00467032"/>
    <w:rsid w:val="0046754A"/>
    <w:rsid w:val="004740B7"/>
    <w:rsid w:val="004A31FF"/>
    <w:rsid w:val="004B0033"/>
    <w:rsid w:val="004F203A"/>
    <w:rsid w:val="00505874"/>
    <w:rsid w:val="00512FF5"/>
    <w:rsid w:val="005336B8"/>
    <w:rsid w:val="00534B1F"/>
    <w:rsid w:val="00545014"/>
    <w:rsid w:val="00557059"/>
    <w:rsid w:val="00577E05"/>
    <w:rsid w:val="0058322B"/>
    <w:rsid w:val="00587ED5"/>
    <w:rsid w:val="005B04B9"/>
    <w:rsid w:val="005B68C7"/>
    <w:rsid w:val="005B7054"/>
    <w:rsid w:val="005D0152"/>
    <w:rsid w:val="005D5981"/>
    <w:rsid w:val="005F30CB"/>
    <w:rsid w:val="005F3AA1"/>
    <w:rsid w:val="00612644"/>
    <w:rsid w:val="00640E72"/>
    <w:rsid w:val="00644495"/>
    <w:rsid w:val="00674CCD"/>
    <w:rsid w:val="00686C86"/>
    <w:rsid w:val="00687AF9"/>
    <w:rsid w:val="00695886"/>
    <w:rsid w:val="006A18DC"/>
    <w:rsid w:val="006A384D"/>
    <w:rsid w:val="006D266A"/>
    <w:rsid w:val="006D6742"/>
    <w:rsid w:val="006E0AD6"/>
    <w:rsid w:val="006E3654"/>
    <w:rsid w:val="006F5826"/>
    <w:rsid w:val="00700181"/>
    <w:rsid w:val="00711EBB"/>
    <w:rsid w:val="007125BF"/>
    <w:rsid w:val="007141CF"/>
    <w:rsid w:val="00745146"/>
    <w:rsid w:val="0074635B"/>
    <w:rsid w:val="007577E3"/>
    <w:rsid w:val="00760DB3"/>
    <w:rsid w:val="00765BD6"/>
    <w:rsid w:val="00767204"/>
    <w:rsid w:val="00784FCF"/>
    <w:rsid w:val="00790D7F"/>
    <w:rsid w:val="007C79F0"/>
    <w:rsid w:val="007E6507"/>
    <w:rsid w:val="007F2B8E"/>
    <w:rsid w:val="007F2DB0"/>
    <w:rsid w:val="00801CBB"/>
    <w:rsid w:val="00802774"/>
    <w:rsid w:val="00807247"/>
    <w:rsid w:val="00840C2B"/>
    <w:rsid w:val="00844197"/>
    <w:rsid w:val="00850889"/>
    <w:rsid w:val="00852695"/>
    <w:rsid w:val="00864FDD"/>
    <w:rsid w:val="008739FD"/>
    <w:rsid w:val="008A7BB6"/>
    <w:rsid w:val="008E372C"/>
    <w:rsid w:val="008E47C6"/>
    <w:rsid w:val="008F343C"/>
    <w:rsid w:val="00920FD4"/>
    <w:rsid w:val="00947C09"/>
    <w:rsid w:val="009573D8"/>
    <w:rsid w:val="0096642E"/>
    <w:rsid w:val="00977F26"/>
    <w:rsid w:val="0098572C"/>
    <w:rsid w:val="009A6F54"/>
    <w:rsid w:val="009A7E67"/>
    <w:rsid w:val="009B0607"/>
    <w:rsid w:val="009B0823"/>
    <w:rsid w:val="00A33758"/>
    <w:rsid w:val="00A34467"/>
    <w:rsid w:val="00A361CC"/>
    <w:rsid w:val="00A53DCE"/>
    <w:rsid w:val="00A6057A"/>
    <w:rsid w:val="00A74017"/>
    <w:rsid w:val="00A86973"/>
    <w:rsid w:val="00A97A1E"/>
    <w:rsid w:val="00AA332C"/>
    <w:rsid w:val="00AC24C7"/>
    <w:rsid w:val="00AC27F8"/>
    <w:rsid w:val="00AD4C72"/>
    <w:rsid w:val="00AD7E9F"/>
    <w:rsid w:val="00AE20ED"/>
    <w:rsid w:val="00AE2AEE"/>
    <w:rsid w:val="00B1394B"/>
    <w:rsid w:val="00B20151"/>
    <w:rsid w:val="00B230EC"/>
    <w:rsid w:val="00B303D1"/>
    <w:rsid w:val="00B31ED6"/>
    <w:rsid w:val="00B33935"/>
    <w:rsid w:val="00B4791C"/>
    <w:rsid w:val="00B50DC4"/>
    <w:rsid w:val="00B56EDC"/>
    <w:rsid w:val="00B664D8"/>
    <w:rsid w:val="00B67C16"/>
    <w:rsid w:val="00B904CD"/>
    <w:rsid w:val="00BA2412"/>
    <w:rsid w:val="00BB1F84"/>
    <w:rsid w:val="00BD6E35"/>
    <w:rsid w:val="00BE5468"/>
    <w:rsid w:val="00C11EAC"/>
    <w:rsid w:val="00C27418"/>
    <w:rsid w:val="00C305D7"/>
    <w:rsid w:val="00C30F2A"/>
    <w:rsid w:val="00C43456"/>
    <w:rsid w:val="00C65C0C"/>
    <w:rsid w:val="00C7141B"/>
    <w:rsid w:val="00C808FC"/>
    <w:rsid w:val="00CA602B"/>
    <w:rsid w:val="00CC2706"/>
    <w:rsid w:val="00CC5DCA"/>
    <w:rsid w:val="00CD544A"/>
    <w:rsid w:val="00CD7D97"/>
    <w:rsid w:val="00CE3EE6"/>
    <w:rsid w:val="00CE40CA"/>
    <w:rsid w:val="00CE4BA1"/>
    <w:rsid w:val="00CE6F35"/>
    <w:rsid w:val="00CE7820"/>
    <w:rsid w:val="00D000C7"/>
    <w:rsid w:val="00D02E2C"/>
    <w:rsid w:val="00D03AE2"/>
    <w:rsid w:val="00D11917"/>
    <w:rsid w:val="00D14904"/>
    <w:rsid w:val="00D24BDB"/>
    <w:rsid w:val="00D35791"/>
    <w:rsid w:val="00D359E3"/>
    <w:rsid w:val="00D431D9"/>
    <w:rsid w:val="00D5254C"/>
    <w:rsid w:val="00D52A9D"/>
    <w:rsid w:val="00D55AAD"/>
    <w:rsid w:val="00D747AE"/>
    <w:rsid w:val="00D9226C"/>
    <w:rsid w:val="00D94D6C"/>
    <w:rsid w:val="00DA20BD"/>
    <w:rsid w:val="00DC417E"/>
    <w:rsid w:val="00DD3DD7"/>
    <w:rsid w:val="00DE50DB"/>
    <w:rsid w:val="00DF6AE1"/>
    <w:rsid w:val="00E029B9"/>
    <w:rsid w:val="00E05D8A"/>
    <w:rsid w:val="00E23316"/>
    <w:rsid w:val="00E41054"/>
    <w:rsid w:val="00E46FD5"/>
    <w:rsid w:val="00E544BB"/>
    <w:rsid w:val="00E56545"/>
    <w:rsid w:val="00E65E3F"/>
    <w:rsid w:val="00E85004"/>
    <w:rsid w:val="00EA5D4F"/>
    <w:rsid w:val="00EB6C56"/>
    <w:rsid w:val="00EB6F21"/>
    <w:rsid w:val="00EC460B"/>
    <w:rsid w:val="00ED54E0"/>
    <w:rsid w:val="00EE4E10"/>
    <w:rsid w:val="00EE4E43"/>
    <w:rsid w:val="00EE6484"/>
    <w:rsid w:val="00EE6DEC"/>
    <w:rsid w:val="00F01C13"/>
    <w:rsid w:val="00F31704"/>
    <w:rsid w:val="00F32397"/>
    <w:rsid w:val="00F40595"/>
    <w:rsid w:val="00F62548"/>
    <w:rsid w:val="00F94282"/>
    <w:rsid w:val="00FA5EBC"/>
    <w:rsid w:val="00FC0D34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A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F6"/>
    <w:pPr>
      <w:spacing w:after="0" w:line="240" w:lineRule="auto"/>
      <w:jc w:val="both"/>
    </w:pPr>
    <w:rPr>
      <w:rFonts w:ascii="Verdana" w:eastAsia="Calibri" w:hAnsi="Verdana" w:cs="Times New Roman"/>
      <w:sz w:val="18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character" w:customStyle="1" w:styleId="lblseg1">
    <w:name w:val="lblseg1"/>
    <w:basedOn w:val="DefaultParagraphFont"/>
    <w:rsid w:val="0064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gazette.gc.ca/rp-pr/p2/2023/2023-02-15/html/sor-dors18-eng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nadagazette.gc.ca/rp-pr/p2/2023/2023-02-15/html/sor-dors18-fra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FFE3-217E-4E09-9AF8-EEF60503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2019-10-31T09:52:00Z</cp:lastPrinted>
  <dcterms:created xsi:type="dcterms:W3CDTF">2023-02-16T12:21:00Z</dcterms:created>
  <dcterms:modified xsi:type="dcterms:W3CDTF">2023-02-16T13:42:00Z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/>
  </property>
  <property fmtid="{D5CDD505-2E9C-101B-9397-08002B2CF9AE}" pid="3" name="TitusGUID">
    <vt:lpwstr>58b17f9c-d097-480e-bc5c-9029a2b3f3d2</vt:lpwstr>
  </property>
  <property fmtid="{D5CDD505-2E9C-101B-9397-08002B2CF9AE}" pid="4" name="WTOCLASSIFICATION">
    <vt:lpwstr>WTO OFFICIAL</vt:lpwstr>
  </property>
</Properties>
</file>