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46ED" w14:textId="77777777" w:rsidR="009239F7" w:rsidRPr="002F6A28" w:rsidRDefault="00CA2134" w:rsidP="002F6A28">
      <w:pPr>
        <w:pStyle w:val="Title"/>
        <w:rPr>
          <w:caps w:val="0"/>
          <w:kern w:val="0"/>
        </w:rPr>
      </w:pPr>
      <w:r w:rsidRPr="002F6A28">
        <w:rPr>
          <w:caps w:val="0"/>
          <w:kern w:val="0"/>
        </w:rPr>
        <w:t>NOTIFICATION</w:t>
      </w:r>
    </w:p>
    <w:p w14:paraId="6452E93B" w14:textId="77777777" w:rsidR="009239F7" w:rsidRPr="002F6A28" w:rsidRDefault="00CA2134" w:rsidP="002F6A28">
      <w:pPr>
        <w:jc w:val="center"/>
      </w:pPr>
      <w:r w:rsidRPr="002F6A28">
        <w:t>The following notification is being circulated in accordance with Article 10.6</w:t>
      </w:r>
    </w:p>
    <w:p w14:paraId="5BCA754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90B92" w14:paraId="2D173E13" w14:textId="77777777" w:rsidTr="0069259F">
        <w:tc>
          <w:tcPr>
            <w:tcW w:w="713" w:type="dxa"/>
            <w:tcBorders>
              <w:bottom w:val="single" w:sz="6" w:space="0" w:color="auto"/>
            </w:tcBorders>
            <w:shd w:val="clear" w:color="auto" w:fill="auto"/>
          </w:tcPr>
          <w:p w14:paraId="01029791" w14:textId="77777777" w:rsidR="00F85C99" w:rsidRPr="002F6A28" w:rsidRDefault="00CA2134" w:rsidP="002F6A28">
            <w:pPr>
              <w:spacing w:before="120" w:after="120"/>
              <w:jc w:val="left"/>
            </w:pPr>
            <w:r w:rsidRPr="002F6A28">
              <w:rPr>
                <w:b/>
              </w:rPr>
              <w:t>1.</w:t>
            </w:r>
          </w:p>
        </w:tc>
        <w:tc>
          <w:tcPr>
            <w:tcW w:w="8546" w:type="dxa"/>
            <w:tcBorders>
              <w:bottom w:val="single" w:sz="6" w:space="0" w:color="auto"/>
            </w:tcBorders>
            <w:shd w:val="clear" w:color="auto" w:fill="auto"/>
          </w:tcPr>
          <w:p w14:paraId="5B7D3691" w14:textId="77777777" w:rsidR="00F85C99" w:rsidRPr="002F6A28" w:rsidRDefault="00CA213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AUSTRALIA</w:t>
            </w:r>
            <w:bookmarkEnd w:id="1"/>
          </w:p>
          <w:p w14:paraId="6DA34EE9" w14:textId="77777777" w:rsidR="00F85C99" w:rsidRPr="002F6A28" w:rsidRDefault="00CA213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90B92" w14:paraId="4352492F" w14:textId="77777777" w:rsidTr="0069259F">
        <w:tc>
          <w:tcPr>
            <w:tcW w:w="713" w:type="dxa"/>
            <w:tcBorders>
              <w:top w:val="single" w:sz="6" w:space="0" w:color="auto"/>
              <w:bottom w:val="single" w:sz="6" w:space="0" w:color="auto"/>
            </w:tcBorders>
            <w:shd w:val="clear" w:color="auto" w:fill="auto"/>
          </w:tcPr>
          <w:p w14:paraId="6FB53B70" w14:textId="77777777" w:rsidR="00F85C99" w:rsidRPr="002F6A28" w:rsidRDefault="00CA213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6B61E0B" w14:textId="77777777" w:rsidR="00F85C99" w:rsidRPr="002F6A28" w:rsidRDefault="00CA213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3AB4444" w14:textId="77777777" w:rsidR="00EE3A11" w:rsidRPr="00C379C8" w:rsidRDefault="00CA2134" w:rsidP="00155128">
            <w:pPr>
              <w:spacing w:after="120"/>
            </w:pPr>
            <w:r w:rsidRPr="00C379C8">
              <w:t>Department of Climate Change, Energy, the Environment and Water (</w:t>
            </w:r>
            <w:proofErr w:type="spellStart"/>
            <w:r w:rsidRPr="00C379C8">
              <w:t>DCCEEW</w:t>
            </w:r>
            <w:proofErr w:type="spellEnd"/>
            <w:r w:rsidRPr="00C379C8">
              <w:t>)</w:t>
            </w:r>
            <w:bookmarkEnd w:id="5"/>
          </w:p>
          <w:p w14:paraId="3C66CE5A" w14:textId="77777777" w:rsidR="00F85C99" w:rsidRPr="002F6A28" w:rsidRDefault="00CA213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F0730E1" w14:textId="77777777" w:rsidR="00AC6C6E" w:rsidRPr="00C379C8" w:rsidRDefault="00CA2134" w:rsidP="00AA646C">
            <w:r w:rsidRPr="00C379C8">
              <w:t>Australian WTO TBT Enquiry Point</w:t>
            </w:r>
          </w:p>
          <w:p w14:paraId="61EB0DF0" w14:textId="77777777" w:rsidR="00AC6C6E" w:rsidRPr="00C379C8" w:rsidRDefault="00CA2134" w:rsidP="00AA646C">
            <w:r w:rsidRPr="00C379C8">
              <w:t>Office of Global Trade Negotiations</w:t>
            </w:r>
          </w:p>
          <w:p w14:paraId="1182A71A" w14:textId="77777777" w:rsidR="00AC6C6E" w:rsidRPr="00C379C8" w:rsidRDefault="00CA2134" w:rsidP="00AA646C">
            <w:r w:rsidRPr="00C379C8">
              <w:t>Department of Foreign Affairs and Trade</w:t>
            </w:r>
          </w:p>
          <w:p w14:paraId="5C514E09" w14:textId="77777777" w:rsidR="00AC6C6E" w:rsidRPr="00C379C8" w:rsidRDefault="00CA2134" w:rsidP="00AA646C">
            <w:r w:rsidRPr="00C379C8">
              <w:t>Canberra ACT 0221</w:t>
            </w:r>
          </w:p>
          <w:p w14:paraId="362B94F3" w14:textId="77777777" w:rsidR="00AC6C6E" w:rsidRPr="00C379C8" w:rsidRDefault="00CA2134" w:rsidP="00AA646C">
            <w:r w:rsidRPr="00C379C8">
              <w:t>Australia</w:t>
            </w:r>
          </w:p>
          <w:p w14:paraId="40FDF469" w14:textId="77777777" w:rsidR="00AC6C6E" w:rsidRPr="00C379C8" w:rsidRDefault="007F3532" w:rsidP="00AA646C">
            <w:hyperlink r:id="rId9" w:history="1">
              <w:r w:rsidR="00CA2134" w:rsidRPr="00C379C8">
                <w:rPr>
                  <w:color w:val="0000FF"/>
                  <w:u w:val="single"/>
                </w:rPr>
                <w:t>tbt.enquiry@dfat.gov.au</w:t>
              </w:r>
            </w:hyperlink>
          </w:p>
          <w:p w14:paraId="69963A95" w14:textId="77777777" w:rsidR="00AC6C6E" w:rsidRPr="00C379C8" w:rsidRDefault="00CA2134" w:rsidP="00AA646C">
            <w:pPr>
              <w:spacing w:after="120"/>
            </w:pPr>
            <w:r w:rsidRPr="00C379C8">
              <w:t>+61 2 6261 1111</w:t>
            </w:r>
            <w:bookmarkEnd w:id="7"/>
          </w:p>
        </w:tc>
      </w:tr>
      <w:tr w:rsidR="00590B92" w14:paraId="57D4C462" w14:textId="77777777" w:rsidTr="0069259F">
        <w:tc>
          <w:tcPr>
            <w:tcW w:w="713" w:type="dxa"/>
            <w:tcBorders>
              <w:top w:val="single" w:sz="6" w:space="0" w:color="auto"/>
              <w:bottom w:val="single" w:sz="6" w:space="0" w:color="auto"/>
            </w:tcBorders>
            <w:shd w:val="clear" w:color="auto" w:fill="auto"/>
          </w:tcPr>
          <w:p w14:paraId="46CE6EDC" w14:textId="77777777" w:rsidR="00F85C99" w:rsidRPr="002F6A28" w:rsidRDefault="00CA213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87FBF24" w14:textId="77777777" w:rsidR="00F85C99" w:rsidRPr="0058336F" w:rsidRDefault="00CA213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90B92" w14:paraId="2B397FE6" w14:textId="77777777" w:rsidTr="0069259F">
        <w:tc>
          <w:tcPr>
            <w:tcW w:w="713" w:type="dxa"/>
            <w:tcBorders>
              <w:top w:val="single" w:sz="6" w:space="0" w:color="auto"/>
              <w:bottom w:val="single" w:sz="6" w:space="0" w:color="auto"/>
            </w:tcBorders>
            <w:shd w:val="clear" w:color="auto" w:fill="auto"/>
          </w:tcPr>
          <w:p w14:paraId="187ECAA1" w14:textId="77777777" w:rsidR="00F85C99" w:rsidRPr="002F6A28" w:rsidRDefault="00CA213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33052F6" w14:textId="77777777" w:rsidR="00F85C99" w:rsidRPr="002F6A28" w:rsidRDefault="00CA2134"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The following chemicals, and chemical mixtures or articles (finished goods) containing the following chemicals, when used for an industrial purpose (excluding agricultural, veterinary or therapeutic purposes):</w:t>
            </w:r>
          </w:p>
          <w:p w14:paraId="7FEB845A" w14:textId="77777777" w:rsidR="00EE3A11" w:rsidRPr="00C379C8" w:rsidRDefault="00CA2134" w:rsidP="002F6A28">
            <w:pPr>
              <w:numPr>
                <w:ilvl w:val="0"/>
                <w:numId w:val="16"/>
              </w:numPr>
              <w:spacing w:before="120" w:after="120"/>
            </w:pPr>
            <w:r w:rsidRPr="00C379C8">
              <w:t xml:space="preserve">Dechlorane Plus® and its two constituent isomers, </w:t>
            </w:r>
            <w:proofErr w:type="spellStart"/>
            <w:r w:rsidRPr="00C379C8">
              <w:t>syn</w:t>
            </w:r>
            <w:proofErr w:type="spellEnd"/>
            <w:r w:rsidRPr="00C379C8">
              <w:t xml:space="preserve">-Dechlorane Plus and anti-Dechlorane Plus (DP®, </w:t>
            </w:r>
            <w:proofErr w:type="spellStart"/>
            <w:r w:rsidRPr="00C379C8">
              <w:t>syn</w:t>
            </w:r>
            <w:proofErr w:type="spellEnd"/>
            <w:r w:rsidRPr="00C379C8">
              <w:t xml:space="preserve"> DP and anti-DP)</w:t>
            </w:r>
          </w:p>
          <w:p w14:paraId="09415A7F" w14:textId="77777777" w:rsidR="00EE3A11" w:rsidRPr="00C379C8" w:rsidRDefault="00CA2134" w:rsidP="002F6A28">
            <w:pPr>
              <w:numPr>
                <w:ilvl w:val="0"/>
                <w:numId w:val="16"/>
              </w:numPr>
              <w:spacing w:before="120" w:after="120"/>
            </w:pPr>
            <w:r w:rsidRPr="00C379C8">
              <w:t>Phenol, 2-(2H-benzotriazol-2-yl)-4,6-bis(1,1-dimethylpropyl)-(UV-328)</w:t>
            </w:r>
            <w:bookmarkEnd w:id="22"/>
          </w:p>
        </w:tc>
      </w:tr>
      <w:tr w:rsidR="00590B92" w14:paraId="65127924" w14:textId="77777777" w:rsidTr="0069259F">
        <w:tc>
          <w:tcPr>
            <w:tcW w:w="713" w:type="dxa"/>
            <w:tcBorders>
              <w:top w:val="single" w:sz="6" w:space="0" w:color="auto"/>
              <w:bottom w:val="single" w:sz="6" w:space="0" w:color="auto"/>
            </w:tcBorders>
            <w:shd w:val="clear" w:color="auto" w:fill="auto"/>
          </w:tcPr>
          <w:p w14:paraId="57EC5226" w14:textId="77777777" w:rsidR="00F85C99" w:rsidRPr="002F6A28" w:rsidRDefault="00CA213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0187378" w14:textId="77777777" w:rsidR="00F85C99" w:rsidRPr="002F6A28" w:rsidRDefault="00CA213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Proposed chemical management standards for Persistent Organic Pollutants; (15 page(s), in English)</w:t>
            </w:r>
            <w:bookmarkEnd w:id="24"/>
          </w:p>
        </w:tc>
      </w:tr>
      <w:tr w:rsidR="00590B92" w14:paraId="675933ED" w14:textId="77777777" w:rsidTr="0069259F">
        <w:tc>
          <w:tcPr>
            <w:tcW w:w="713" w:type="dxa"/>
            <w:tcBorders>
              <w:top w:val="single" w:sz="6" w:space="0" w:color="auto"/>
              <w:bottom w:val="single" w:sz="6" w:space="0" w:color="auto"/>
            </w:tcBorders>
            <w:shd w:val="clear" w:color="auto" w:fill="auto"/>
          </w:tcPr>
          <w:p w14:paraId="10BE3CE9" w14:textId="77777777" w:rsidR="00F85C99" w:rsidRPr="002F6A28" w:rsidRDefault="00CA213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D338085" w14:textId="77777777" w:rsidR="00F85C99" w:rsidRPr="002F6A28" w:rsidRDefault="00CA213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Industrial Chemicals Environmental Management Standard (</w:t>
            </w:r>
            <w:proofErr w:type="spellStart"/>
            <w:r w:rsidR="00FE448B" w:rsidRPr="00C379C8">
              <w:t>IChEMS</w:t>
            </w:r>
            <w:proofErr w:type="spellEnd"/>
            <w:r w:rsidR="00FE448B" w:rsidRPr="00C379C8">
              <w:t xml:space="preserve">) has been developed by all Australian governments to efficiently and effectively manage the risks of industrial chemicals to the environment while providing consistent requirements for businesses across Australia. The </w:t>
            </w:r>
            <w:proofErr w:type="spellStart"/>
            <w:r w:rsidR="00FE448B" w:rsidRPr="00C379C8">
              <w:t>IChEMS</w:t>
            </w:r>
            <w:proofErr w:type="spellEnd"/>
            <w:r w:rsidR="00FE448B" w:rsidRPr="00C379C8">
              <w:t xml:space="preserve"> Register records standards for the environmental management of chemicals, including risk management measures for specific industrial uses. In turn, the Australian federal government and each Australian state and territory government will enact legislation to implement the standards in their jurisdictions.</w:t>
            </w:r>
          </w:p>
          <w:p w14:paraId="6BD67243" w14:textId="77777777" w:rsidR="00FE448B" w:rsidRPr="00C379C8" w:rsidRDefault="00CA2134" w:rsidP="002F6A28">
            <w:pPr>
              <w:spacing w:before="120" w:after="120"/>
            </w:pPr>
            <w:r w:rsidRPr="00C379C8">
              <w:t xml:space="preserve">The proposed decisions will assign the following chemicals, and mixtures and articles containing the chemicals to Schedule 6 of the </w:t>
            </w:r>
            <w:proofErr w:type="spellStart"/>
            <w:r w:rsidRPr="00C379C8">
              <w:t>IChEMS</w:t>
            </w:r>
            <w:proofErr w:type="spellEnd"/>
            <w:r w:rsidRPr="00C379C8">
              <w:t xml:space="preserve"> Register. This will prohibit their import, manufacture, use and export in Australia, with limited exceptions for unintentional </w:t>
            </w:r>
            <w:r w:rsidRPr="00C379C8">
              <w:lastRenderedPageBreak/>
              <w:t>trace contamination, research, environmentally sound disposal, and for articles in use prior to the date of effect of the decision.</w:t>
            </w:r>
          </w:p>
          <w:p w14:paraId="1CEA6F99" w14:textId="77777777" w:rsidR="00FE448B" w:rsidRPr="00C379C8" w:rsidRDefault="00CA2134" w:rsidP="002F6A28">
            <w:pPr>
              <w:spacing w:before="120" w:after="120"/>
            </w:pPr>
            <w:r w:rsidRPr="00C379C8">
              <w:t>Some uses considered to be essential are also excepted from the decisions. These essential uses are outlined below.</w:t>
            </w:r>
          </w:p>
          <w:p w14:paraId="68C812C7" w14:textId="77777777" w:rsidR="00FE448B" w:rsidRPr="00C379C8" w:rsidRDefault="00CA2134" w:rsidP="002F6A28">
            <w:pPr>
              <w:numPr>
                <w:ilvl w:val="0"/>
                <w:numId w:val="17"/>
              </w:numPr>
              <w:spacing w:before="120" w:after="120"/>
            </w:pPr>
            <w:r w:rsidRPr="00C379C8">
              <w:t xml:space="preserve">Dechlorane Plus® and its two constituent isomers, </w:t>
            </w:r>
            <w:proofErr w:type="spellStart"/>
            <w:r w:rsidRPr="00C379C8">
              <w:t>syn</w:t>
            </w:r>
            <w:proofErr w:type="spellEnd"/>
            <w:r w:rsidRPr="00C379C8">
              <w:t xml:space="preserve">-Dechlorane Plus and anti-Dechlorane Plus (DP®, </w:t>
            </w:r>
            <w:proofErr w:type="spellStart"/>
            <w:r w:rsidRPr="00C379C8">
              <w:t>syn</w:t>
            </w:r>
            <w:proofErr w:type="spellEnd"/>
            <w:r w:rsidRPr="00C379C8">
              <w:t xml:space="preserve"> DP and anti-DP), except when used for the following essential uses:</w:t>
            </w:r>
          </w:p>
          <w:p w14:paraId="5E854019" w14:textId="77777777" w:rsidR="00FE448B" w:rsidRPr="00C379C8" w:rsidRDefault="00CA2134" w:rsidP="002F6A28">
            <w:pPr>
              <w:numPr>
                <w:ilvl w:val="1"/>
                <w:numId w:val="17"/>
              </w:numPr>
              <w:spacing w:before="120" w:after="120"/>
            </w:pPr>
            <w:r w:rsidRPr="00C379C8">
              <w:t>aerospace and space applications (until 1 July - 2031); or</w:t>
            </w:r>
          </w:p>
          <w:p w14:paraId="38F8D6D3" w14:textId="77777777" w:rsidR="00FE448B" w:rsidRPr="00C379C8" w:rsidRDefault="00CA2134" w:rsidP="002F6A28">
            <w:pPr>
              <w:numPr>
                <w:ilvl w:val="1"/>
                <w:numId w:val="17"/>
              </w:numPr>
              <w:spacing w:before="120" w:after="120"/>
            </w:pPr>
            <w:r w:rsidRPr="00C379C8">
              <w:t>defence applications (to be reviewed by the department after 1 July 2031); or</w:t>
            </w:r>
          </w:p>
          <w:p w14:paraId="3D562B07" w14:textId="77777777" w:rsidR="00FE448B" w:rsidRPr="00C379C8" w:rsidRDefault="00CA2134" w:rsidP="002F6A28">
            <w:pPr>
              <w:numPr>
                <w:ilvl w:val="1"/>
                <w:numId w:val="17"/>
              </w:numPr>
              <w:spacing w:before="120" w:after="120"/>
            </w:pPr>
            <w:r w:rsidRPr="00C379C8">
              <w:t>replacement parts, where the chemical was originally used in the manufacture of those parts, for:</w:t>
            </w:r>
          </w:p>
          <w:p w14:paraId="2DBD853C" w14:textId="77777777" w:rsidR="00FE448B" w:rsidRPr="00C379C8" w:rsidRDefault="00CA2134" w:rsidP="002F6A28">
            <w:pPr>
              <w:numPr>
                <w:ilvl w:val="1"/>
                <w:numId w:val="17"/>
              </w:numPr>
              <w:spacing w:before="120" w:after="120"/>
            </w:pPr>
            <w:r w:rsidRPr="00C379C8">
              <w:t>aerospace and space applications (until the end of the service life of the articles or 1 July 2044, whichever comes earlier); or</w:t>
            </w:r>
          </w:p>
          <w:p w14:paraId="5AAD1288" w14:textId="77777777" w:rsidR="00FE448B" w:rsidRPr="00C379C8" w:rsidRDefault="00CA2134" w:rsidP="002F6A28">
            <w:pPr>
              <w:numPr>
                <w:ilvl w:val="1"/>
                <w:numId w:val="17"/>
              </w:numPr>
              <w:spacing w:before="120" w:after="120"/>
            </w:pPr>
            <w:r w:rsidRPr="00C379C8">
              <w:t>defence applications (until the end of the service life of the articles, subject to review by the department after 1 July 2044); or</w:t>
            </w:r>
          </w:p>
          <w:p w14:paraId="3CACCD0A" w14:textId="77777777" w:rsidR="00FE448B" w:rsidRPr="00C379C8" w:rsidRDefault="00CA2134" w:rsidP="002F6A28">
            <w:pPr>
              <w:numPr>
                <w:ilvl w:val="1"/>
                <w:numId w:val="17"/>
              </w:numPr>
              <w:spacing w:before="120" w:after="120"/>
            </w:pPr>
            <w:r w:rsidRPr="00C379C8">
              <w:t>motor vehicles (until the end of the service life of the articles or 1 July 2044, whichever comes earlier); or</w:t>
            </w:r>
          </w:p>
          <w:p w14:paraId="4C42C61C" w14:textId="77777777" w:rsidR="00FE448B" w:rsidRPr="00C379C8" w:rsidRDefault="00CA2134" w:rsidP="002F6A28">
            <w:pPr>
              <w:numPr>
                <w:ilvl w:val="1"/>
                <w:numId w:val="17"/>
              </w:numPr>
              <w:spacing w:before="120" w:after="120"/>
            </w:pPr>
            <w:r w:rsidRPr="00C379C8">
              <w:t>stationary industrial machines for use in agriculture, forestry and construction (until the end of the service life of the articles or 1 July 2044, whichever comes earlier); or</w:t>
            </w:r>
          </w:p>
          <w:p w14:paraId="38B6F2F8" w14:textId="77777777" w:rsidR="00FE448B" w:rsidRPr="00C379C8" w:rsidRDefault="00CA2134" w:rsidP="002F6A28">
            <w:pPr>
              <w:numPr>
                <w:ilvl w:val="1"/>
                <w:numId w:val="17"/>
              </w:numPr>
              <w:spacing w:before="120" w:after="120"/>
            </w:pPr>
            <w:r w:rsidRPr="00C379C8">
              <w:t>marine, garden, forestry and outdoor power equipment (until the end of the service life of the articles or 1 July 2044, whichever comes earlier); or</w:t>
            </w:r>
          </w:p>
          <w:p w14:paraId="5D93E2EB" w14:textId="77777777" w:rsidR="00FE448B" w:rsidRPr="00C379C8" w:rsidRDefault="00CA2134" w:rsidP="002F6A28">
            <w:pPr>
              <w:numPr>
                <w:ilvl w:val="1"/>
                <w:numId w:val="17"/>
              </w:numPr>
              <w:spacing w:before="120" w:after="120"/>
            </w:pPr>
            <w:r w:rsidRPr="00C379C8">
              <w:t>in-vitro diagnostic devices (until the end of the service life of the articles, subject to review by the department after 1 July 2041); or</w:t>
            </w:r>
          </w:p>
          <w:p w14:paraId="0D752E83" w14:textId="77777777" w:rsidR="00FE448B" w:rsidRPr="00C379C8" w:rsidRDefault="00CA2134" w:rsidP="002F6A28">
            <w:pPr>
              <w:numPr>
                <w:ilvl w:val="1"/>
                <w:numId w:val="17"/>
              </w:numPr>
              <w:spacing w:before="120" w:after="120"/>
            </w:pPr>
            <w:r w:rsidRPr="00C379C8">
              <w:t>instruments for analysis, measurements, control, monitoring, testing, production and inspection (until the end of the service life of the articles or 1 July 2044, whichever comes earlier).</w:t>
            </w:r>
          </w:p>
          <w:p w14:paraId="63860299" w14:textId="77777777" w:rsidR="00FE448B" w:rsidRPr="00C379C8" w:rsidRDefault="00CA2134" w:rsidP="002F6A28">
            <w:pPr>
              <w:numPr>
                <w:ilvl w:val="0"/>
                <w:numId w:val="17"/>
              </w:numPr>
              <w:spacing w:before="120" w:after="120"/>
            </w:pPr>
            <w:r w:rsidRPr="00C379C8">
              <w:t>Phenol,2-(2H-benzotriazol-2-yl)-4,6-bis(1,1-dimethylpropyl)- (UV-328), except when used for the following essential uses:</w:t>
            </w:r>
          </w:p>
          <w:p w14:paraId="271E8B77" w14:textId="77777777" w:rsidR="00FE448B" w:rsidRPr="00C379C8" w:rsidRDefault="00CA2134" w:rsidP="002F6A28">
            <w:pPr>
              <w:numPr>
                <w:ilvl w:val="0"/>
                <w:numId w:val="17"/>
              </w:numPr>
              <w:spacing w:before="120" w:after="120"/>
            </w:pPr>
            <w:r w:rsidRPr="00C379C8">
              <w:t>motor vehicles (until 1 July 2031); or</w:t>
            </w:r>
          </w:p>
          <w:p w14:paraId="59D90C93" w14:textId="77777777" w:rsidR="00FE448B" w:rsidRPr="00C379C8" w:rsidRDefault="00CA2134" w:rsidP="002F6A28">
            <w:pPr>
              <w:numPr>
                <w:ilvl w:val="0"/>
                <w:numId w:val="17"/>
              </w:numPr>
              <w:spacing w:before="120" w:after="120"/>
            </w:pPr>
            <w:r w:rsidRPr="00C379C8">
              <w:t>industrial coating applications for automotive coating, engineering machine coating, rail transit coating, and heavy-duty coating for large steel structures (until 1 July 2031); or</w:t>
            </w:r>
          </w:p>
          <w:p w14:paraId="76C45404" w14:textId="77777777" w:rsidR="00FE448B" w:rsidRPr="00C379C8" w:rsidRDefault="00CA2134" w:rsidP="002F6A28">
            <w:pPr>
              <w:numPr>
                <w:ilvl w:val="0"/>
                <w:numId w:val="17"/>
              </w:numPr>
              <w:spacing w:before="120" w:after="120"/>
            </w:pPr>
            <w:r w:rsidRPr="00C379C8">
              <w:t>tri-acetyl cellulose (TAC) film in polarisers (until 1 July 2031); or</w:t>
            </w:r>
          </w:p>
          <w:p w14:paraId="64D81DE1" w14:textId="77777777" w:rsidR="00FE448B" w:rsidRPr="00C379C8" w:rsidRDefault="00CA2134" w:rsidP="002F6A28">
            <w:pPr>
              <w:numPr>
                <w:ilvl w:val="0"/>
                <w:numId w:val="17"/>
              </w:numPr>
              <w:spacing w:before="120" w:after="120"/>
            </w:pPr>
            <w:r w:rsidRPr="00C379C8">
              <w:t>photographic paper (until 1 July 2031); or</w:t>
            </w:r>
          </w:p>
          <w:p w14:paraId="51FF2777" w14:textId="77777777" w:rsidR="00FE448B" w:rsidRPr="00C379C8" w:rsidRDefault="00CA2134" w:rsidP="002F6A28">
            <w:pPr>
              <w:numPr>
                <w:ilvl w:val="0"/>
                <w:numId w:val="17"/>
              </w:numPr>
              <w:spacing w:before="120" w:after="120"/>
            </w:pPr>
            <w:r w:rsidRPr="00C379C8">
              <w:t>replacement parts, where the chemical was originally used in the manufacture of those parts, for:</w:t>
            </w:r>
          </w:p>
          <w:p w14:paraId="4499DB32" w14:textId="77777777" w:rsidR="00FE448B" w:rsidRPr="00C379C8" w:rsidRDefault="00CA2134" w:rsidP="002F6A28">
            <w:pPr>
              <w:numPr>
                <w:ilvl w:val="0"/>
                <w:numId w:val="17"/>
              </w:numPr>
              <w:spacing w:before="120" w:after="120"/>
            </w:pPr>
            <w:r w:rsidRPr="00C379C8">
              <w:t>motor vehicles (until the end of the service life of the articles or 1 July 2044, whichever comes earlier); or</w:t>
            </w:r>
          </w:p>
          <w:p w14:paraId="5D7AD445" w14:textId="77777777" w:rsidR="00FE448B" w:rsidRPr="00C379C8" w:rsidRDefault="00CA2134" w:rsidP="002F6A28">
            <w:pPr>
              <w:numPr>
                <w:ilvl w:val="0"/>
                <w:numId w:val="17"/>
              </w:numPr>
              <w:spacing w:before="120" w:after="120"/>
            </w:pPr>
            <w:r w:rsidRPr="00C379C8">
              <w:t>stationary industrial machines for use in agriculture, forestry and construction (until 1 July 2044); or</w:t>
            </w:r>
          </w:p>
          <w:p w14:paraId="4C2E435E" w14:textId="77777777" w:rsidR="00FE448B" w:rsidRPr="00C379C8" w:rsidRDefault="00CA2134" w:rsidP="002F6A28">
            <w:pPr>
              <w:numPr>
                <w:ilvl w:val="0"/>
                <w:numId w:val="17"/>
              </w:numPr>
              <w:spacing w:before="120" w:after="120"/>
            </w:pPr>
            <w:r w:rsidRPr="00C379C8">
              <w:t>liquid crystal displays in in-vitro diagnostic devices (to be reviewed by the department after 1 July 2041); or</w:t>
            </w:r>
          </w:p>
          <w:p w14:paraId="25DB40FF" w14:textId="77777777" w:rsidR="00FE448B" w:rsidRPr="00C379C8" w:rsidRDefault="00CA2134" w:rsidP="002F6A28">
            <w:pPr>
              <w:numPr>
                <w:ilvl w:val="0"/>
                <w:numId w:val="17"/>
              </w:numPr>
              <w:spacing w:before="120" w:after="120"/>
            </w:pPr>
            <w:r w:rsidRPr="00C379C8">
              <w:t>liquid crystal displays in instruments for analysis, measurements, control, monitoring, testing, production and inspection (until 1 July 2044).</w:t>
            </w:r>
            <w:bookmarkEnd w:id="26"/>
          </w:p>
        </w:tc>
      </w:tr>
      <w:tr w:rsidR="00590B92" w14:paraId="74C511B5" w14:textId="77777777" w:rsidTr="0069259F">
        <w:tc>
          <w:tcPr>
            <w:tcW w:w="713" w:type="dxa"/>
            <w:tcBorders>
              <w:top w:val="single" w:sz="6" w:space="0" w:color="auto"/>
              <w:bottom w:val="single" w:sz="6" w:space="0" w:color="auto"/>
            </w:tcBorders>
            <w:shd w:val="clear" w:color="auto" w:fill="auto"/>
          </w:tcPr>
          <w:p w14:paraId="6429FB43" w14:textId="77777777" w:rsidR="00F85C99" w:rsidRPr="002F6A28" w:rsidRDefault="00CA213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9993652" w14:textId="77777777" w:rsidR="00F85C99" w:rsidRPr="002F6A28" w:rsidRDefault="00CA213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proposed scheduling decisions aim to:</w:t>
            </w:r>
          </w:p>
          <w:p w14:paraId="45C5C0BB" w14:textId="77777777" w:rsidR="00EE3A11" w:rsidRPr="00C379C8" w:rsidRDefault="00CA2134" w:rsidP="002F6A28">
            <w:pPr>
              <w:numPr>
                <w:ilvl w:val="0"/>
                <w:numId w:val="18"/>
              </w:numPr>
              <w:spacing w:before="120" w:after="120"/>
            </w:pPr>
            <w:r w:rsidRPr="00C379C8">
              <w:t>Enact standards for Stockholm Convention listed persistent organic pollutants (</w:t>
            </w:r>
            <w:proofErr w:type="spellStart"/>
            <w:r w:rsidRPr="00C379C8">
              <w:t>POPs</w:t>
            </w:r>
            <w:proofErr w:type="spellEnd"/>
            <w:r w:rsidRPr="00C379C8">
              <w:t>) that have industrial uses and which Australia has not yet ratified.</w:t>
            </w:r>
          </w:p>
          <w:p w14:paraId="4E7F90B6" w14:textId="77777777" w:rsidR="00EE3A11" w:rsidRPr="00C379C8" w:rsidRDefault="00CA2134" w:rsidP="002F6A28">
            <w:pPr>
              <w:numPr>
                <w:ilvl w:val="0"/>
                <w:numId w:val="18"/>
              </w:numPr>
              <w:spacing w:before="120" w:after="120"/>
            </w:pPr>
            <w:r w:rsidRPr="00C379C8">
              <w:t>Facilitate ratification of the Stockholm Convention listings of the chemicals, allowing Australia to fulfil its obligations under the Convention.</w:t>
            </w:r>
          </w:p>
          <w:p w14:paraId="0EDF7A99" w14:textId="77777777" w:rsidR="00EE3A11" w:rsidRPr="00C379C8" w:rsidRDefault="00CA2134" w:rsidP="002F6A28">
            <w:pPr>
              <w:numPr>
                <w:ilvl w:val="0"/>
                <w:numId w:val="18"/>
              </w:numPr>
              <w:spacing w:before="120" w:after="120"/>
            </w:pPr>
            <w:r w:rsidRPr="00C379C8">
              <w:t>Achieve better protection of the environment through improved management of the environmental risks posed by industrial chemicals.</w:t>
            </w:r>
          </w:p>
          <w:p w14:paraId="2E6F0950" w14:textId="77777777" w:rsidR="00EE3A11" w:rsidRPr="00C379C8" w:rsidRDefault="00CA2134" w:rsidP="002F6A28">
            <w:pPr>
              <w:numPr>
                <w:ilvl w:val="0"/>
                <w:numId w:val="18"/>
              </w:numPr>
              <w:spacing w:before="120" w:after="120"/>
            </w:pPr>
            <w:r w:rsidRPr="00C379C8">
              <w:t>Provide a nationally consistent, transparent, predictable and streamlines approach to environmental risk management of industrial chemicals for governments, industry and the community.</w:t>
            </w:r>
            <w:bookmarkEnd w:id="28"/>
          </w:p>
        </w:tc>
      </w:tr>
      <w:tr w:rsidR="00590B92" w14:paraId="76FD0B88" w14:textId="77777777" w:rsidTr="0069259F">
        <w:tc>
          <w:tcPr>
            <w:tcW w:w="713" w:type="dxa"/>
            <w:tcBorders>
              <w:top w:val="single" w:sz="6" w:space="0" w:color="auto"/>
              <w:bottom w:val="single" w:sz="6" w:space="0" w:color="auto"/>
            </w:tcBorders>
            <w:shd w:val="clear" w:color="auto" w:fill="auto"/>
          </w:tcPr>
          <w:p w14:paraId="4745502E" w14:textId="77777777" w:rsidR="00F85C99" w:rsidRPr="002F6A28" w:rsidRDefault="00CA213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921BF44" w14:textId="77777777" w:rsidR="00086AF5" w:rsidRPr="00086AF5" w:rsidRDefault="00CA2134"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EB36347" w14:textId="77777777" w:rsidR="00EE3A11" w:rsidRPr="002F6A28" w:rsidRDefault="00CA2134" w:rsidP="007F13E8">
            <w:pPr>
              <w:numPr>
                <w:ilvl w:val="0"/>
                <w:numId w:val="19"/>
              </w:numPr>
              <w:spacing w:before="120" w:after="120"/>
            </w:pPr>
            <w:r w:rsidRPr="002F6A28">
              <w:t>Decision for consultation – Dechlorane Plus [</w:t>
            </w:r>
            <w:hyperlink r:id="rId10" w:history="1">
              <w:r w:rsidRPr="002F6A28">
                <w:rPr>
                  <w:color w:val="0000FF"/>
                  <w:u w:val="single"/>
                </w:rPr>
                <w:t>DOCX 2.70MB</w:t>
              </w:r>
            </w:hyperlink>
            <w:r w:rsidRPr="002F6A28">
              <w:t>] [</w:t>
            </w:r>
            <w:hyperlink r:id="rId11" w:history="1">
              <w:r w:rsidRPr="002F6A28">
                <w:rPr>
                  <w:color w:val="0000FF"/>
                  <w:u w:val="single"/>
                </w:rPr>
                <w:t>PDF 235KB</w:t>
              </w:r>
            </w:hyperlink>
            <w:r w:rsidRPr="002F6A28">
              <w:t>]</w:t>
            </w:r>
          </w:p>
          <w:p w14:paraId="32F470E3" w14:textId="77777777" w:rsidR="00EE3A11" w:rsidRPr="002F6A28" w:rsidRDefault="00CA2134" w:rsidP="007F13E8">
            <w:pPr>
              <w:numPr>
                <w:ilvl w:val="0"/>
                <w:numId w:val="19"/>
              </w:numPr>
              <w:spacing w:before="120" w:after="120"/>
            </w:pPr>
            <w:r w:rsidRPr="002F6A28">
              <w:t>Decision for consultation – UV-328 [</w:t>
            </w:r>
            <w:hyperlink r:id="rId12" w:history="1">
              <w:r w:rsidRPr="002F6A28">
                <w:rPr>
                  <w:color w:val="0000FF"/>
                  <w:u w:val="single"/>
                </w:rPr>
                <w:t>DOCX 2.7MB</w:t>
              </w:r>
            </w:hyperlink>
            <w:r w:rsidRPr="002F6A28">
              <w:t>] [</w:t>
            </w:r>
            <w:hyperlink r:id="rId13" w:history="1">
              <w:r w:rsidRPr="002F6A28">
                <w:rPr>
                  <w:color w:val="0000FF"/>
                  <w:u w:val="single"/>
                </w:rPr>
                <w:t>PDF 236KB</w:t>
              </w:r>
            </w:hyperlink>
            <w:r w:rsidRPr="002F6A28">
              <w:t>]</w:t>
            </w:r>
          </w:p>
          <w:p w14:paraId="669B82FD" w14:textId="77777777" w:rsidR="00EE3A11" w:rsidRPr="002F6A28" w:rsidRDefault="00CA2134" w:rsidP="007F13E8">
            <w:pPr>
              <w:numPr>
                <w:ilvl w:val="0"/>
                <w:numId w:val="19"/>
              </w:numPr>
              <w:spacing w:before="120" w:after="120"/>
            </w:pPr>
            <w:r w:rsidRPr="002F6A28">
              <w:t xml:space="preserve">Further supporting documents are available at: Consultation hub | Public comments on </w:t>
            </w:r>
            <w:proofErr w:type="spellStart"/>
            <w:r w:rsidRPr="002F6A28">
              <w:t>IChEMS</w:t>
            </w:r>
            <w:proofErr w:type="spellEnd"/>
            <w:r w:rsidRPr="002F6A28">
              <w:t xml:space="preserve"> proposed decisions - Climate Change (dcceew.gov.au) </w:t>
            </w:r>
            <w:hyperlink r:id="rId14" w:history="1">
              <w:r w:rsidRPr="002F6A28">
                <w:rPr>
                  <w:color w:val="0000FF"/>
                  <w:u w:val="single"/>
                </w:rPr>
                <w:t>https://consult.dcceew.gov.au/ichems-s17-proposed-decisions</w:t>
              </w:r>
            </w:hyperlink>
            <w:bookmarkEnd w:id="30"/>
          </w:p>
        </w:tc>
      </w:tr>
      <w:tr w:rsidR="00590B92" w14:paraId="471F5820" w14:textId="77777777" w:rsidTr="00AE6CC8">
        <w:trPr>
          <w:cantSplit/>
        </w:trPr>
        <w:tc>
          <w:tcPr>
            <w:tcW w:w="713" w:type="dxa"/>
            <w:tcBorders>
              <w:top w:val="single" w:sz="6" w:space="0" w:color="auto"/>
              <w:bottom w:val="single" w:sz="6" w:space="0" w:color="auto"/>
            </w:tcBorders>
            <w:shd w:val="clear" w:color="auto" w:fill="auto"/>
          </w:tcPr>
          <w:p w14:paraId="64B068A0" w14:textId="77777777" w:rsidR="00EE3A11" w:rsidRPr="002F6A28" w:rsidRDefault="00CA213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EAAA4A7" w14:textId="77777777" w:rsidR="00EE3A11" w:rsidRPr="002F6A28" w:rsidRDefault="00CA213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By 30 June 2024</w:t>
            </w:r>
            <w:bookmarkEnd w:id="33"/>
          </w:p>
          <w:p w14:paraId="537B9566" w14:textId="77777777" w:rsidR="00EE3A11" w:rsidRPr="002F6A28" w:rsidRDefault="00CA213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July 2026</w:t>
            </w:r>
            <w:bookmarkStart w:id="36" w:name="sps11b"/>
            <w:bookmarkEnd w:id="35"/>
            <w:bookmarkEnd w:id="36"/>
          </w:p>
        </w:tc>
      </w:tr>
      <w:tr w:rsidR="00590B92" w14:paraId="53100DD2" w14:textId="77777777" w:rsidTr="0069259F">
        <w:tc>
          <w:tcPr>
            <w:tcW w:w="713" w:type="dxa"/>
            <w:tcBorders>
              <w:top w:val="single" w:sz="6" w:space="0" w:color="auto"/>
              <w:bottom w:val="single" w:sz="6" w:space="0" w:color="auto"/>
            </w:tcBorders>
            <w:shd w:val="clear" w:color="auto" w:fill="auto"/>
          </w:tcPr>
          <w:p w14:paraId="188496F3" w14:textId="77777777" w:rsidR="00F85C99" w:rsidRPr="002F6A28" w:rsidRDefault="00CA213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19F9B28" w14:textId="77777777" w:rsidR="00F85C99" w:rsidRPr="002F6A28" w:rsidRDefault="00CA213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90B92" w14:paraId="11950CDC" w14:textId="77777777" w:rsidTr="0069259F">
        <w:tc>
          <w:tcPr>
            <w:tcW w:w="713" w:type="dxa"/>
            <w:tcBorders>
              <w:top w:val="single" w:sz="6" w:space="0" w:color="auto"/>
            </w:tcBorders>
            <w:shd w:val="clear" w:color="auto" w:fill="auto"/>
          </w:tcPr>
          <w:p w14:paraId="29EF0549" w14:textId="77777777" w:rsidR="00F85C99" w:rsidRPr="002F6A28" w:rsidRDefault="00CA213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1AA8CBF" w14:textId="77777777" w:rsidR="00F85C99" w:rsidRPr="002F6A28" w:rsidRDefault="00CA213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6E66351" w14:textId="77777777" w:rsidR="00EE3A11" w:rsidRPr="00A12DDE" w:rsidRDefault="00CA2134" w:rsidP="00B16145">
            <w:pPr>
              <w:keepNext/>
              <w:keepLines/>
              <w:rPr>
                <w:bCs/>
              </w:rPr>
            </w:pPr>
            <w:r w:rsidRPr="00A12DDE">
              <w:rPr>
                <w:bCs/>
              </w:rPr>
              <w:t xml:space="preserve">• Consultation hub | Public comments on </w:t>
            </w:r>
            <w:proofErr w:type="spellStart"/>
            <w:r w:rsidRPr="00A12DDE">
              <w:rPr>
                <w:bCs/>
              </w:rPr>
              <w:t>IChEMS</w:t>
            </w:r>
            <w:proofErr w:type="spellEnd"/>
            <w:r w:rsidRPr="00A12DDE">
              <w:rPr>
                <w:bCs/>
              </w:rPr>
              <w:t xml:space="preserve"> proposed decisions - Climate Change </w:t>
            </w:r>
            <w:hyperlink r:id="rId15" w:tgtFrame="_blank" w:history="1">
              <w:r w:rsidRPr="00A12DDE">
                <w:rPr>
                  <w:bCs/>
                  <w:color w:val="0000FF"/>
                  <w:u w:val="single"/>
                </w:rPr>
                <w:t>https://consult.dcceew.gov.au/ichems-s17-proposed-decisions</w:t>
              </w:r>
            </w:hyperlink>
            <w:r w:rsidRPr="00A12DDE">
              <w:rPr>
                <w:bCs/>
              </w:rPr>
              <w:t xml:space="preserve"> (dcceew.gov.au)</w:t>
            </w:r>
          </w:p>
          <w:p w14:paraId="1F7CCB6E" w14:textId="77777777" w:rsidR="00EE3A11" w:rsidRPr="00A12DDE" w:rsidRDefault="00CA2134" w:rsidP="00B16145">
            <w:pPr>
              <w:keepNext/>
              <w:keepLines/>
              <w:spacing w:after="120"/>
              <w:rPr>
                <w:bCs/>
              </w:rPr>
            </w:pPr>
            <w:r w:rsidRPr="00A12DDE">
              <w:rPr>
                <w:bCs/>
              </w:rPr>
              <w:t xml:space="preserve">• Further information on </w:t>
            </w:r>
            <w:proofErr w:type="spellStart"/>
            <w:r w:rsidRPr="00A12DDE">
              <w:rPr>
                <w:bCs/>
              </w:rPr>
              <w:t>IChEMS</w:t>
            </w:r>
            <w:proofErr w:type="spellEnd"/>
            <w:r w:rsidRPr="00A12DDE">
              <w:rPr>
                <w:bCs/>
              </w:rPr>
              <w:t xml:space="preserve"> is available at: Industrial Chemicals Environmental Management Standard – </w:t>
            </w:r>
            <w:proofErr w:type="spellStart"/>
            <w:r w:rsidRPr="00A12DDE">
              <w:rPr>
                <w:bCs/>
              </w:rPr>
              <w:t>IChEMS</w:t>
            </w:r>
            <w:proofErr w:type="spellEnd"/>
            <w:r w:rsidRPr="00A12DDE">
              <w:rPr>
                <w:bCs/>
              </w:rPr>
              <w:t xml:space="preserve"> – </w:t>
            </w:r>
            <w:proofErr w:type="spellStart"/>
            <w:r w:rsidRPr="00A12DDE">
              <w:rPr>
                <w:bCs/>
              </w:rPr>
              <w:t>DCCEEW</w:t>
            </w:r>
            <w:proofErr w:type="spellEnd"/>
            <w:r w:rsidRPr="00A12DDE">
              <w:rPr>
                <w:bCs/>
              </w:rPr>
              <w:t xml:space="preserve">: </w:t>
            </w:r>
            <w:hyperlink r:id="rId16" w:tgtFrame="_blank" w:history="1">
              <w:r w:rsidRPr="00A12DDE">
                <w:rPr>
                  <w:bCs/>
                  <w:color w:val="0000FF"/>
                  <w:u w:val="single"/>
                </w:rPr>
                <w:t>https://www.dcceew.gov.au/environment/protection/chemicals-management/national-standard</w:t>
              </w:r>
            </w:hyperlink>
            <w:bookmarkEnd w:id="42"/>
          </w:p>
        </w:tc>
      </w:tr>
    </w:tbl>
    <w:p w14:paraId="1E1B1BDB"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8B5F" w14:textId="77777777" w:rsidR="00CA2134" w:rsidRDefault="00CA2134">
      <w:r>
        <w:separator/>
      </w:r>
    </w:p>
  </w:endnote>
  <w:endnote w:type="continuationSeparator" w:id="0">
    <w:p w14:paraId="12CF8A75" w14:textId="77777777" w:rsidR="00CA2134" w:rsidRDefault="00CA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6943" w14:textId="77777777" w:rsidR="009239F7" w:rsidRPr="002F6A28" w:rsidRDefault="00CA213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A44F" w14:textId="77777777" w:rsidR="009239F7" w:rsidRPr="002F6A28" w:rsidRDefault="00CA213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FA5A" w14:textId="77777777" w:rsidR="00EE3A11" w:rsidRPr="002F6A28" w:rsidRDefault="00CA213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961D" w14:textId="77777777" w:rsidR="00CA2134" w:rsidRDefault="00CA2134">
      <w:r>
        <w:separator/>
      </w:r>
    </w:p>
  </w:footnote>
  <w:footnote w:type="continuationSeparator" w:id="0">
    <w:p w14:paraId="55A50EB5" w14:textId="77777777" w:rsidR="00CA2134" w:rsidRDefault="00CA2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7A3D" w14:textId="77777777" w:rsidR="009239F7" w:rsidRPr="002F6A28" w:rsidRDefault="00CA2134" w:rsidP="009239F7">
    <w:pPr>
      <w:pStyle w:val="Header"/>
      <w:pBdr>
        <w:bottom w:val="single" w:sz="4" w:space="1" w:color="auto"/>
      </w:pBdr>
      <w:tabs>
        <w:tab w:val="clear" w:pos="4513"/>
        <w:tab w:val="clear" w:pos="9027"/>
      </w:tabs>
      <w:jc w:val="center"/>
    </w:pPr>
    <w:proofErr w:type="spellStart"/>
    <w:r w:rsidRPr="002F6A28">
      <w:t>tbtSymbol</w:t>
    </w:r>
    <w:proofErr w:type="spellEnd"/>
  </w:p>
  <w:p w14:paraId="7EF95EE8" w14:textId="77777777" w:rsidR="009239F7" w:rsidRPr="002F6A28" w:rsidRDefault="009239F7" w:rsidP="009239F7">
    <w:pPr>
      <w:pStyle w:val="Header"/>
      <w:pBdr>
        <w:bottom w:val="single" w:sz="4" w:space="1" w:color="auto"/>
      </w:pBdr>
      <w:tabs>
        <w:tab w:val="clear" w:pos="4513"/>
        <w:tab w:val="clear" w:pos="9027"/>
      </w:tabs>
      <w:jc w:val="center"/>
    </w:pPr>
  </w:p>
  <w:p w14:paraId="3FBAE7F0" w14:textId="77777777" w:rsidR="009239F7" w:rsidRPr="002F6A28" w:rsidRDefault="00CA213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60AD3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7305" w14:textId="77777777" w:rsidR="009239F7" w:rsidRPr="002F6A28" w:rsidRDefault="00CA2134" w:rsidP="009239F7">
    <w:pPr>
      <w:pStyle w:val="Header"/>
      <w:pBdr>
        <w:bottom w:val="single" w:sz="4" w:space="1" w:color="auto"/>
      </w:pBdr>
      <w:tabs>
        <w:tab w:val="clear" w:pos="4513"/>
        <w:tab w:val="clear" w:pos="9027"/>
      </w:tabs>
      <w:jc w:val="center"/>
    </w:pPr>
    <w:bookmarkStart w:id="43" w:name="spsSymbolHeader"/>
    <w:r w:rsidRPr="002F6A28">
      <w:t>G/TBT/N/AUS/168</w:t>
    </w:r>
    <w:bookmarkEnd w:id="43"/>
  </w:p>
  <w:p w14:paraId="2BB565F5" w14:textId="77777777" w:rsidR="009239F7" w:rsidRPr="002F6A28" w:rsidRDefault="009239F7" w:rsidP="009239F7">
    <w:pPr>
      <w:pStyle w:val="Header"/>
      <w:pBdr>
        <w:bottom w:val="single" w:sz="4" w:space="1" w:color="auto"/>
      </w:pBdr>
      <w:tabs>
        <w:tab w:val="clear" w:pos="4513"/>
        <w:tab w:val="clear" w:pos="9027"/>
      </w:tabs>
      <w:jc w:val="center"/>
    </w:pPr>
  </w:p>
  <w:p w14:paraId="69153D92" w14:textId="77777777" w:rsidR="009239F7" w:rsidRPr="002F6A28" w:rsidRDefault="00CA213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E7F48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0B92" w14:paraId="6EEF340B" w14:textId="77777777" w:rsidTr="008612A9">
      <w:trPr>
        <w:trHeight w:val="240"/>
        <w:jc w:val="center"/>
      </w:trPr>
      <w:tc>
        <w:tcPr>
          <w:tcW w:w="3794" w:type="dxa"/>
          <w:shd w:val="clear" w:color="auto" w:fill="FFFFFF"/>
          <w:tcMar>
            <w:left w:w="108" w:type="dxa"/>
            <w:right w:w="108" w:type="dxa"/>
          </w:tcMar>
          <w:vAlign w:val="center"/>
        </w:tcPr>
        <w:p w14:paraId="5582BB8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36042CB" w14:textId="77777777" w:rsidR="00ED54E0" w:rsidRPr="009239F7" w:rsidRDefault="00ED54E0" w:rsidP="00B801E9">
          <w:pPr>
            <w:jc w:val="right"/>
            <w:rPr>
              <w:b/>
              <w:color w:val="FF0000"/>
              <w:szCs w:val="16"/>
            </w:rPr>
          </w:pPr>
        </w:p>
      </w:tc>
    </w:tr>
    <w:bookmarkEnd w:id="44"/>
    <w:tr w:rsidR="00590B92" w14:paraId="5F406A4D" w14:textId="77777777" w:rsidTr="008612A9">
      <w:trPr>
        <w:trHeight w:val="213"/>
        <w:jc w:val="center"/>
      </w:trPr>
      <w:tc>
        <w:tcPr>
          <w:tcW w:w="3794" w:type="dxa"/>
          <w:vMerge w:val="restart"/>
          <w:shd w:val="clear" w:color="auto" w:fill="FFFFFF"/>
          <w:tcMar>
            <w:left w:w="0" w:type="dxa"/>
            <w:right w:w="0" w:type="dxa"/>
          </w:tcMar>
        </w:tcPr>
        <w:p w14:paraId="69AC8314" w14:textId="77777777" w:rsidR="00ED54E0" w:rsidRPr="009239F7" w:rsidRDefault="00CA2134" w:rsidP="00B801E9">
          <w:pPr>
            <w:jc w:val="left"/>
          </w:pPr>
          <w:r>
            <w:rPr>
              <w:noProof/>
              <w:lang w:eastAsia="en-GB"/>
            </w:rPr>
            <w:drawing>
              <wp:inline distT="0" distB="0" distL="0" distR="0" wp14:anchorId="4CDEEE45" wp14:editId="1F679B2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383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2D847D" w14:textId="77777777" w:rsidR="00ED54E0" w:rsidRPr="009239F7" w:rsidRDefault="00ED54E0" w:rsidP="00B801E9">
          <w:pPr>
            <w:jc w:val="right"/>
            <w:rPr>
              <w:b/>
              <w:szCs w:val="16"/>
            </w:rPr>
          </w:pPr>
        </w:p>
      </w:tc>
    </w:tr>
    <w:tr w:rsidR="00590B92" w14:paraId="6B4C861B" w14:textId="77777777" w:rsidTr="008612A9">
      <w:trPr>
        <w:trHeight w:val="868"/>
        <w:jc w:val="center"/>
      </w:trPr>
      <w:tc>
        <w:tcPr>
          <w:tcW w:w="3794" w:type="dxa"/>
          <w:vMerge/>
          <w:shd w:val="clear" w:color="auto" w:fill="FFFFFF"/>
          <w:tcMar>
            <w:left w:w="108" w:type="dxa"/>
            <w:right w:w="108" w:type="dxa"/>
          </w:tcMar>
        </w:tcPr>
        <w:p w14:paraId="453B035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FBBB49" w14:textId="77777777" w:rsidR="009239F7" w:rsidRPr="002F6A28" w:rsidRDefault="00CA2134" w:rsidP="00B801E9">
          <w:pPr>
            <w:jc w:val="right"/>
            <w:rPr>
              <w:b/>
              <w:szCs w:val="16"/>
            </w:rPr>
          </w:pPr>
          <w:bookmarkStart w:id="45" w:name="bmkSymbols"/>
          <w:r w:rsidRPr="002F6A28">
            <w:rPr>
              <w:b/>
              <w:szCs w:val="16"/>
            </w:rPr>
            <w:t>G/TBT/N/AUS/168</w:t>
          </w:r>
          <w:bookmarkEnd w:id="45"/>
        </w:p>
      </w:tc>
    </w:tr>
    <w:tr w:rsidR="00590B92" w14:paraId="26702F86" w14:textId="77777777" w:rsidTr="008612A9">
      <w:trPr>
        <w:trHeight w:val="240"/>
        <w:jc w:val="center"/>
      </w:trPr>
      <w:tc>
        <w:tcPr>
          <w:tcW w:w="3794" w:type="dxa"/>
          <w:vMerge/>
          <w:shd w:val="clear" w:color="auto" w:fill="FFFFFF"/>
          <w:tcMar>
            <w:left w:w="108" w:type="dxa"/>
            <w:right w:w="108" w:type="dxa"/>
          </w:tcMar>
          <w:vAlign w:val="center"/>
        </w:tcPr>
        <w:p w14:paraId="71C1A88D" w14:textId="77777777" w:rsidR="00ED54E0" w:rsidRPr="009239F7" w:rsidRDefault="00ED54E0" w:rsidP="00B801E9"/>
      </w:tc>
      <w:tc>
        <w:tcPr>
          <w:tcW w:w="5448" w:type="dxa"/>
          <w:gridSpan w:val="2"/>
          <w:shd w:val="clear" w:color="auto" w:fill="FFFFFF"/>
          <w:tcMar>
            <w:left w:w="108" w:type="dxa"/>
            <w:right w:w="108" w:type="dxa"/>
          </w:tcMar>
          <w:vAlign w:val="center"/>
        </w:tcPr>
        <w:p w14:paraId="2D6C150C" w14:textId="3D1B1A9E" w:rsidR="00ED54E0" w:rsidRPr="009239F7" w:rsidRDefault="00CA2134" w:rsidP="00B801E9">
          <w:pPr>
            <w:jc w:val="right"/>
            <w:rPr>
              <w:szCs w:val="16"/>
            </w:rPr>
          </w:pPr>
          <w:bookmarkStart w:id="46" w:name="spsDateDistribution"/>
          <w:bookmarkStart w:id="47" w:name="bmkDate"/>
          <w:bookmarkEnd w:id="46"/>
          <w:bookmarkEnd w:id="47"/>
          <w:r>
            <w:rPr>
              <w:szCs w:val="16"/>
            </w:rPr>
            <w:t>19 April 2024</w:t>
          </w:r>
        </w:p>
      </w:tc>
    </w:tr>
    <w:tr w:rsidR="00590B92" w14:paraId="4ED4778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DBEA11" w14:textId="5847EF00" w:rsidR="00ED54E0" w:rsidRPr="009239F7" w:rsidRDefault="00CA2134"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7F3532">
            <w:rPr>
              <w:color w:val="FF0000"/>
              <w:szCs w:val="16"/>
            </w:rPr>
            <w:t>3265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7AF6577" w14:textId="77777777" w:rsidR="00ED54E0" w:rsidRPr="009239F7" w:rsidRDefault="00CA213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90B92" w14:paraId="5A853B6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FA1BBB" w14:textId="77777777" w:rsidR="00ED54E0" w:rsidRPr="009239F7" w:rsidRDefault="00CA213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106BCC8" w14:textId="77777777" w:rsidR="00ED54E0" w:rsidRPr="002F6A28" w:rsidRDefault="00CA213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44454DE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E66ACA">
      <w:start w:val="1"/>
      <w:numFmt w:val="decimal"/>
      <w:pStyle w:val="SummaryText"/>
      <w:lvlText w:val="%1."/>
      <w:lvlJc w:val="left"/>
      <w:pPr>
        <w:ind w:left="360" w:hanging="360"/>
      </w:pPr>
    </w:lvl>
    <w:lvl w:ilvl="1" w:tplc="438492E0" w:tentative="1">
      <w:start w:val="1"/>
      <w:numFmt w:val="lowerLetter"/>
      <w:lvlText w:val="%2."/>
      <w:lvlJc w:val="left"/>
      <w:pPr>
        <w:ind w:left="1080" w:hanging="360"/>
      </w:pPr>
    </w:lvl>
    <w:lvl w:ilvl="2" w:tplc="1688B2EC" w:tentative="1">
      <w:start w:val="1"/>
      <w:numFmt w:val="lowerRoman"/>
      <w:lvlText w:val="%3."/>
      <w:lvlJc w:val="right"/>
      <w:pPr>
        <w:ind w:left="1800" w:hanging="180"/>
      </w:pPr>
    </w:lvl>
    <w:lvl w:ilvl="3" w:tplc="9468E97A" w:tentative="1">
      <w:start w:val="1"/>
      <w:numFmt w:val="decimal"/>
      <w:lvlText w:val="%4."/>
      <w:lvlJc w:val="left"/>
      <w:pPr>
        <w:ind w:left="2520" w:hanging="360"/>
      </w:pPr>
    </w:lvl>
    <w:lvl w:ilvl="4" w:tplc="B0D20566" w:tentative="1">
      <w:start w:val="1"/>
      <w:numFmt w:val="lowerLetter"/>
      <w:lvlText w:val="%5."/>
      <w:lvlJc w:val="left"/>
      <w:pPr>
        <w:ind w:left="3240" w:hanging="360"/>
      </w:pPr>
    </w:lvl>
    <w:lvl w:ilvl="5" w:tplc="63D8E574" w:tentative="1">
      <w:start w:val="1"/>
      <w:numFmt w:val="lowerRoman"/>
      <w:lvlText w:val="%6."/>
      <w:lvlJc w:val="right"/>
      <w:pPr>
        <w:ind w:left="3960" w:hanging="180"/>
      </w:pPr>
    </w:lvl>
    <w:lvl w:ilvl="6" w:tplc="12B62A92" w:tentative="1">
      <w:start w:val="1"/>
      <w:numFmt w:val="decimal"/>
      <w:lvlText w:val="%7."/>
      <w:lvlJc w:val="left"/>
      <w:pPr>
        <w:ind w:left="4680" w:hanging="360"/>
      </w:pPr>
    </w:lvl>
    <w:lvl w:ilvl="7" w:tplc="95649C66" w:tentative="1">
      <w:start w:val="1"/>
      <w:numFmt w:val="lowerLetter"/>
      <w:lvlText w:val="%8."/>
      <w:lvlJc w:val="left"/>
      <w:pPr>
        <w:ind w:left="5400" w:hanging="360"/>
      </w:pPr>
    </w:lvl>
    <w:lvl w:ilvl="8" w:tplc="9BF69E3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194C312">
      <w:start w:val="1"/>
      <w:numFmt w:val="bullet"/>
      <w:lvlText w:val=""/>
      <w:lvlJc w:val="left"/>
      <w:pPr>
        <w:ind w:left="720" w:hanging="360"/>
      </w:pPr>
      <w:rPr>
        <w:rFonts w:ascii="Symbol" w:hAnsi="Symbol"/>
      </w:rPr>
    </w:lvl>
    <w:lvl w:ilvl="1" w:tplc="FDB6B674">
      <w:start w:val="1"/>
      <w:numFmt w:val="bullet"/>
      <w:lvlText w:val="o"/>
      <w:lvlJc w:val="left"/>
      <w:pPr>
        <w:tabs>
          <w:tab w:val="num" w:pos="1440"/>
        </w:tabs>
        <w:ind w:left="1440" w:hanging="360"/>
      </w:pPr>
      <w:rPr>
        <w:rFonts w:ascii="Courier New" w:hAnsi="Courier New"/>
      </w:rPr>
    </w:lvl>
    <w:lvl w:ilvl="2" w:tplc="331AE7F8">
      <w:start w:val="1"/>
      <w:numFmt w:val="bullet"/>
      <w:lvlText w:val=""/>
      <w:lvlJc w:val="left"/>
      <w:pPr>
        <w:tabs>
          <w:tab w:val="num" w:pos="2160"/>
        </w:tabs>
        <w:ind w:left="2160" w:hanging="360"/>
      </w:pPr>
      <w:rPr>
        <w:rFonts w:ascii="Wingdings" w:hAnsi="Wingdings"/>
      </w:rPr>
    </w:lvl>
    <w:lvl w:ilvl="3" w:tplc="CD24907A">
      <w:start w:val="1"/>
      <w:numFmt w:val="bullet"/>
      <w:lvlText w:val=""/>
      <w:lvlJc w:val="left"/>
      <w:pPr>
        <w:tabs>
          <w:tab w:val="num" w:pos="2880"/>
        </w:tabs>
        <w:ind w:left="2880" w:hanging="360"/>
      </w:pPr>
      <w:rPr>
        <w:rFonts w:ascii="Symbol" w:hAnsi="Symbol"/>
      </w:rPr>
    </w:lvl>
    <w:lvl w:ilvl="4" w:tplc="FB70B52A">
      <w:start w:val="1"/>
      <w:numFmt w:val="bullet"/>
      <w:lvlText w:val="o"/>
      <w:lvlJc w:val="left"/>
      <w:pPr>
        <w:tabs>
          <w:tab w:val="num" w:pos="3600"/>
        </w:tabs>
        <w:ind w:left="3600" w:hanging="360"/>
      </w:pPr>
      <w:rPr>
        <w:rFonts w:ascii="Courier New" w:hAnsi="Courier New"/>
      </w:rPr>
    </w:lvl>
    <w:lvl w:ilvl="5" w:tplc="7C7877EC">
      <w:start w:val="1"/>
      <w:numFmt w:val="bullet"/>
      <w:lvlText w:val=""/>
      <w:lvlJc w:val="left"/>
      <w:pPr>
        <w:tabs>
          <w:tab w:val="num" w:pos="4320"/>
        </w:tabs>
        <w:ind w:left="4320" w:hanging="360"/>
      </w:pPr>
      <w:rPr>
        <w:rFonts w:ascii="Wingdings" w:hAnsi="Wingdings"/>
      </w:rPr>
    </w:lvl>
    <w:lvl w:ilvl="6" w:tplc="3662D56E">
      <w:start w:val="1"/>
      <w:numFmt w:val="bullet"/>
      <w:lvlText w:val=""/>
      <w:lvlJc w:val="left"/>
      <w:pPr>
        <w:tabs>
          <w:tab w:val="num" w:pos="5040"/>
        </w:tabs>
        <w:ind w:left="5040" w:hanging="360"/>
      </w:pPr>
      <w:rPr>
        <w:rFonts w:ascii="Symbol" w:hAnsi="Symbol"/>
      </w:rPr>
    </w:lvl>
    <w:lvl w:ilvl="7" w:tplc="6DC492D4">
      <w:start w:val="1"/>
      <w:numFmt w:val="bullet"/>
      <w:lvlText w:val="o"/>
      <w:lvlJc w:val="left"/>
      <w:pPr>
        <w:tabs>
          <w:tab w:val="num" w:pos="5760"/>
        </w:tabs>
        <w:ind w:left="5760" w:hanging="360"/>
      </w:pPr>
      <w:rPr>
        <w:rFonts w:ascii="Courier New" w:hAnsi="Courier New"/>
      </w:rPr>
    </w:lvl>
    <w:lvl w:ilvl="8" w:tplc="555ABE14">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24A40468">
      <w:start w:val="1"/>
      <w:numFmt w:val="bullet"/>
      <w:lvlText w:val=""/>
      <w:lvlJc w:val="left"/>
      <w:pPr>
        <w:ind w:left="720" w:hanging="360"/>
      </w:pPr>
      <w:rPr>
        <w:rFonts w:ascii="Symbol" w:hAnsi="Symbol"/>
      </w:rPr>
    </w:lvl>
    <w:lvl w:ilvl="1" w:tplc="55527D68">
      <w:start w:val="1"/>
      <w:numFmt w:val="bullet"/>
      <w:lvlText w:val="o"/>
      <w:lvlJc w:val="left"/>
      <w:pPr>
        <w:ind w:left="1440" w:hanging="360"/>
      </w:pPr>
      <w:rPr>
        <w:rFonts w:ascii="Courier New" w:hAnsi="Courier New"/>
      </w:rPr>
    </w:lvl>
    <w:lvl w:ilvl="2" w:tplc="A5484124">
      <w:start w:val="1"/>
      <w:numFmt w:val="bullet"/>
      <w:lvlText w:val=""/>
      <w:lvlJc w:val="left"/>
      <w:pPr>
        <w:tabs>
          <w:tab w:val="num" w:pos="2160"/>
        </w:tabs>
        <w:ind w:left="2160" w:hanging="360"/>
      </w:pPr>
      <w:rPr>
        <w:rFonts w:ascii="Wingdings" w:hAnsi="Wingdings"/>
      </w:rPr>
    </w:lvl>
    <w:lvl w:ilvl="3" w:tplc="7ED8C1D4">
      <w:start w:val="1"/>
      <w:numFmt w:val="bullet"/>
      <w:lvlText w:val=""/>
      <w:lvlJc w:val="left"/>
      <w:pPr>
        <w:tabs>
          <w:tab w:val="num" w:pos="2880"/>
        </w:tabs>
        <w:ind w:left="2880" w:hanging="360"/>
      </w:pPr>
      <w:rPr>
        <w:rFonts w:ascii="Symbol" w:hAnsi="Symbol"/>
      </w:rPr>
    </w:lvl>
    <w:lvl w:ilvl="4" w:tplc="84762B16">
      <w:start w:val="1"/>
      <w:numFmt w:val="bullet"/>
      <w:lvlText w:val="o"/>
      <w:lvlJc w:val="left"/>
      <w:pPr>
        <w:tabs>
          <w:tab w:val="num" w:pos="3600"/>
        </w:tabs>
        <w:ind w:left="3600" w:hanging="360"/>
      </w:pPr>
      <w:rPr>
        <w:rFonts w:ascii="Courier New" w:hAnsi="Courier New"/>
      </w:rPr>
    </w:lvl>
    <w:lvl w:ilvl="5" w:tplc="7A464282">
      <w:start w:val="1"/>
      <w:numFmt w:val="bullet"/>
      <w:lvlText w:val=""/>
      <w:lvlJc w:val="left"/>
      <w:pPr>
        <w:tabs>
          <w:tab w:val="num" w:pos="4320"/>
        </w:tabs>
        <w:ind w:left="4320" w:hanging="360"/>
      </w:pPr>
      <w:rPr>
        <w:rFonts w:ascii="Wingdings" w:hAnsi="Wingdings"/>
      </w:rPr>
    </w:lvl>
    <w:lvl w:ilvl="6" w:tplc="0B925D70">
      <w:start w:val="1"/>
      <w:numFmt w:val="bullet"/>
      <w:lvlText w:val=""/>
      <w:lvlJc w:val="left"/>
      <w:pPr>
        <w:tabs>
          <w:tab w:val="num" w:pos="5040"/>
        </w:tabs>
        <w:ind w:left="5040" w:hanging="360"/>
      </w:pPr>
      <w:rPr>
        <w:rFonts w:ascii="Symbol" w:hAnsi="Symbol"/>
      </w:rPr>
    </w:lvl>
    <w:lvl w:ilvl="7" w:tplc="EC0C0A54">
      <w:start w:val="1"/>
      <w:numFmt w:val="bullet"/>
      <w:lvlText w:val="o"/>
      <w:lvlJc w:val="left"/>
      <w:pPr>
        <w:tabs>
          <w:tab w:val="num" w:pos="5760"/>
        </w:tabs>
        <w:ind w:left="5760" w:hanging="360"/>
      </w:pPr>
      <w:rPr>
        <w:rFonts w:ascii="Courier New" w:hAnsi="Courier New"/>
      </w:rPr>
    </w:lvl>
    <w:lvl w:ilvl="8" w:tplc="868AF6A8">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584AA9F2">
      <w:start w:val="1"/>
      <w:numFmt w:val="bullet"/>
      <w:lvlText w:val=""/>
      <w:lvlJc w:val="left"/>
      <w:pPr>
        <w:ind w:left="720" w:hanging="360"/>
      </w:pPr>
      <w:rPr>
        <w:rFonts w:ascii="Symbol" w:hAnsi="Symbol"/>
      </w:rPr>
    </w:lvl>
    <w:lvl w:ilvl="1" w:tplc="4D8E90AC">
      <w:start w:val="1"/>
      <w:numFmt w:val="bullet"/>
      <w:lvlText w:val="o"/>
      <w:lvlJc w:val="left"/>
      <w:pPr>
        <w:tabs>
          <w:tab w:val="num" w:pos="1440"/>
        </w:tabs>
        <w:ind w:left="1440" w:hanging="360"/>
      </w:pPr>
      <w:rPr>
        <w:rFonts w:ascii="Courier New" w:hAnsi="Courier New"/>
      </w:rPr>
    </w:lvl>
    <w:lvl w:ilvl="2" w:tplc="899ED4F2">
      <w:start w:val="1"/>
      <w:numFmt w:val="bullet"/>
      <w:lvlText w:val=""/>
      <w:lvlJc w:val="left"/>
      <w:pPr>
        <w:tabs>
          <w:tab w:val="num" w:pos="2160"/>
        </w:tabs>
        <w:ind w:left="2160" w:hanging="360"/>
      </w:pPr>
      <w:rPr>
        <w:rFonts w:ascii="Wingdings" w:hAnsi="Wingdings"/>
      </w:rPr>
    </w:lvl>
    <w:lvl w:ilvl="3" w:tplc="053C0F28">
      <w:start w:val="1"/>
      <w:numFmt w:val="bullet"/>
      <w:lvlText w:val=""/>
      <w:lvlJc w:val="left"/>
      <w:pPr>
        <w:tabs>
          <w:tab w:val="num" w:pos="2880"/>
        </w:tabs>
        <w:ind w:left="2880" w:hanging="360"/>
      </w:pPr>
      <w:rPr>
        <w:rFonts w:ascii="Symbol" w:hAnsi="Symbol"/>
      </w:rPr>
    </w:lvl>
    <w:lvl w:ilvl="4" w:tplc="B948A718">
      <w:start w:val="1"/>
      <w:numFmt w:val="bullet"/>
      <w:lvlText w:val="o"/>
      <w:lvlJc w:val="left"/>
      <w:pPr>
        <w:tabs>
          <w:tab w:val="num" w:pos="3600"/>
        </w:tabs>
        <w:ind w:left="3600" w:hanging="360"/>
      </w:pPr>
      <w:rPr>
        <w:rFonts w:ascii="Courier New" w:hAnsi="Courier New"/>
      </w:rPr>
    </w:lvl>
    <w:lvl w:ilvl="5" w:tplc="D9344970">
      <w:start w:val="1"/>
      <w:numFmt w:val="bullet"/>
      <w:lvlText w:val=""/>
      <w:lvlJc w:val="left"/>
      <w:pPr>
        <w:tabs>
          <w:tab w:val="num" w:pos="4320"/>
        </w:tabs>
        <w:ind w:left="4320" w:hanging="360"/>
      </w:pPr>
      <w:rPr>
        <w:rFonts w:ascii="Wingdings" w:hAnsi="Wingdings"/>
      </w:rPr>
    </w:lvl>
    <w:lvl w:ilvl="6" w:tplc="C4267C66">
      <w:start w:val="1"/>
      <w:numFmt w:val="bullet"/>
      <w:lvlText w:val=""/>
      <w:lvlJc w:val="left"/>
      <w:pPr>
        <w:tabs>
          <w:tab w:val="num" w:pos="5040"/>
        </w:tabs>
        <w:ind w:left="5040" w:hanging="360"/>
      </w:pPr>
      <w:rPr>
        <w:rFonts w:ascii="Symbol" w:hAnsi="Symbol"/>
      </w:rPr>
    </w:lvl>
    <w:lvl w:ilvl="7" w:tplc="C04CBB76">
      <w:start w:val="1"/>
      <w:numFmt w:val="bullet"/>
      <w:lvlText w:val="o"/>
      <w:lvlJc w:val="left"/>
      <w:pPr>
        <w:tabs>
          <w:tab w:val="num" w:pos="5760"/>
        </w:tabs>
        <w:ind w:left="5760" w:hanging="360"/>
      </w:pPr>
      <w:rPr>
        <w:rFonts w:ascii="Courier New" w:hAnsi="Courier New"/>
      </w:rPr>
    </w:lvl>
    <w:lvl w:ilvl="8" w:tplc="1C5EAE64">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E"/>
    <w:multiLevelType w:val="hybridMultilevel"/>
    <w:tmpl w:val="63D526BE"/>
    <w:lvl w:ilvl="0" w:tplc="6CDCA2CE">
      <w:start w:val="1"/>
      <w:numFmt w:val="bullet"/>
      <w:lvlText w:val=""/>
      <w:lvlJc w:val="left"/>
      <w:pPr>
        <w:ind w:left="720" w:hanging="360"/>
      </w:pPr>
      <w:rPr>
        <w:rFonts w:ascii="Symbol" w:hAnsi="Symbol"/>
      </w:rPr>
    </w:lvl>
    <w:lvl w:ilvl="1" w:tplc="531851F0">
      <w:start w:val="1"/>
      <w:numFmt w:val="bullet"/>
      <w:lvlText w:val="o"/>
      <w:lvlJc w:val="left"/>
      <w:pPr>
        <w:tabs>
          <w:tab w:val="num" w:pos="1440"/>
        </w:tabs>
        <w:ind w:left="1440" w:hanging="360"/>
      </w:pPr>
      <w:rPr>
        <w:rFonts w:ascii="Courier New" w:hAnsi="Courier New"/>
      </w:rPr>
    </w:lvl>
    <w:lvl w:ilvl="2" w:tplc="D62CE69A">
      <w:start w:val="1"/>
      <w:numFmt w:val="bullet"/>
      <w:lvlText w:val=""/>
      <w:lvlJc w:val="left"/>
      <w:pPr>
        <w:tabs>
          <w:tab w:val="num" w:pos="2160"/>
        </w:tabs>
        <w:ind w:left="2160" w:hanging="360"/>
      </w:pPr>
      <w:rPr>
        <w:rFonts w:ascii="Wingdings" w:hAnsi="Wingdings"/>
      </w:rPr>
    </w:lvl>
    <w:lvl w:ilvl="3" w:tplc="2A542230">
      <w:start w:val="1"/>
      <w:numFmt w:val="bullet"/>
      <w:lvlText w:val=""/>
      <w:lvlJc w:val="left"/>
      <w:pPr>
        <w:tabs>
          <w:tab w:val="num" w:pos="2880"/>
        </w:tabs>
        <w:ind w:left="2880" w:hanging="360"/>
      </w:pPr>
      <w:rPr>
        <w:rFonts w:ascii="Symbol" w:hAnsi="Symbol"/>
      </w:rPr>
    </w:lvl>
    <w:lvl w:ilvl="4" w:tplc="0D8059E2">
      <w:start w:val="1"/>
      <w:numFmt w:val="bullet"/>
      <w:lvlText w:val="o"/>
      <w:lvlJc w:val="left"/>
      <w:pPr>
        <w:tabs>
          <w:tab w:val="num" w:pos="3600"/>
        </w:tabs>
        <w:ind w:left="3600" w:hanging="360"/>
      </w:pPr>
      <w:rPr>
        <w:rFonts w:ascii="Courier New" w:hAnsi="Courier New"/>
      </w:rPr>
    </w:lvl>
    <w:lvl w:ilvl="5" w:tplc="91CE1BAA">
      <w:start w:val="1"/>
      <w:numFmt w:val="bullet"/>
      <w:lvlText w:val=""/>
      <w:lvlJc w:val="left"/>
      <w:pPr>
        <w:tabs>
          <w:tab w:val="num" w:pos="4320"/>
        </w:tabs>
        <w:ind w:left="4320" w:hanging="360"/>
      </w:pPr>
      <w:rPr>
        <w:rFonts w:ascii="Wingdings" w:hAnsi="Wingdings"/>
      </w:rPr>
    </w:lvl>
    <w:lvl w:ilvl="6" w:tplc="A30C726C">
      <w:start w:val="1"/>
      <w:numFmt w:val="bullet"/>
      <w:lvlText w:val=""/>
      <w:lvlJc w:val="left"/>
      <w:pPr>
        <w:tabs>
          <w:tab w:val="num" w:pos="5040"/>
        </w:tabs>
        <w:ind w:left="5040" w:hanging="360"/>
      </w:pPr>
      <w:rPr>
        <w:rFonts w:ascii="Symbol" w:hAnsi="Symbol"/>
      </w:rPr>
    </w:lvl>
    <w:lvl w:ilvl="7" w:tplc="27429D8A">
      <w:start w:val="1"/>
      <w:numFmt w:val="bullet"/>
      <w:lvlText w:val="o"/>
      <w:lvlJc w:val="left"/>
      <w:pPr>
        <w:tabs>
          <w:tab w:val="num" w:pos="5760"/>
        </w:tabs>
        <w:ind w:left="5760" w:hanging="360"/>
      </w:pPr>
      <w:rPr>
        <w:rFonts w:ascii="Courier New" w:hAnsi="Courier New"/>
      </w:rPr>
    </w:lvl>
    <w:lvl w:ilvl="8" w:tplc="1ED65832">
      <w:start w:val="1"/>
      <w:numFmt w:val="bullet"/>
      <w:lvlText w:val=""/>
      <w:lvlJc w:val="left"/>
      <w:pPr>
        <w:tabs>
          <w:tab w:val="num" w:pos="6480"/>
        </w:tabs>
        <w:ind w:left="6480" w:hanging="360"/>
      </w:pPr>
      <w:rPr>
        <w:rFonts w:ascii="Wingdings" w:hAnsi="Wingdings"/>
      </w:rPr>
    </w:lvl>
  </w:abstractNum>
  <w:num w:numId="1" w16cid:durableId="1647857552">
    <w:abstractNumId w:val="9"/>
  </w:num>
  <w:num w:numId="2" w16cid:durableId="262305048">
    <w:abstractNumId w:val="7"/>
  </w:num>
  <w:num w:numId="3" w16cid:durableId="526599195">
    <w:abstractNumId w:val="6"/>
  </w:num>
  <w:num w:numId="4" w16cid:durableId="1843815586">
    <w:abstractNumId w:val="5"/>
  </w:num>
  <w:num w:numId="5" w16cid:durableId="1715807167">
    <w:abstractNumId w:val="4"/>
  </w:num>
  <w:num w:numId="6" w16cid:durableId="1026370240">
    <w:abstractNumId w:val="12"/>
  </w:num>
  <w:num w:numId="7" w16cid:durableId="249974938">
    <w:abstractNumId w:val="11"/>
  </w:num>
  <w:num w:numId="8" w16cid:durableId="650520405">
    <w:abstractNumId w:val="10"/>
  </w:num>
  <w:num w:numId="9" w16cid:durableId="1239327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7576076">
    <w:abstractNumId w:val="13"/>
  </w:num>
  <w:num w:numId="11" w16cid:durableId="1236432566">
    <w:abstractNumId w:val="8"/>
  </w:num>
  <w:num w:numId="12" w16cid:durableId="396317544">
    <w:abstractNumId w:val="3"/>
  </w:num>
  <w:num w:numId="13" w16cid:durableId="2010522701">
    <w:abstractNumId w:val="2"/>
  </w:num>
  <w:num w:numId="14" w16cid:durableId="1282761738">
    <w:abstractNumId w:val="1"/>
  </w:num>
  <w:num w:numId="15" w16cid:durableId="1665665500">
    <w:abstractNumId w:val="0"/>
  </w:num>
  <w:num w:numId="16" w16cid:durableId="1100681398">
    <w:abstractNumId w:val="14"/>
  </w:num>
  <w:num w:numId="17" w16cid:durableId="401801697">
    <w:abstractNumId w:val="15"/>
  </w:num>
  <w:num w:numId="18" w16cid:durableId="1086465838">
    <w:abstractNumId w:val="16"/>
  </w:num>
  <w:num w:numId="19" w16cid:durableId="16975415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54430"/>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B92"/>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7F3532"/>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76E6E"/>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2134"/>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8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orage.googleapis.com/files-au-climate/climate-au/p/prj24edc1c28ff933a268e8f/page/A2%20The%20proposed%20scheduling%20decision%20for%20listing%20UV-328%20in%20Schedule%206.pdf"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storage.googleapis.com/files-au-climate/climate-au/p/prj24edc1c28ff933a268e8f/page/A2%20The%20proposed%20scheduling%20decision%20for%20listing%20UV-328%20in%20Schedule%206.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ceew.gov.au/environment/protection/chemicals-management/national-standar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orage.googleapis.com/files-au-climate/climate-au/p/prj24edc1c28ff933a268e8f/page/A1%20The%20proposed%20scheduling%20decision%20for%20listing%20DP%20in%20Schedule%206.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onsult.dcceew.gov.au/ichems-s17-proposed-decisions" TargetMode="External"/><Relationship Id="rId23" Type="http://schemas.openxmlformats.org/officeDocument/2006/relationships/fontTable" Target="fontTable.xml"/><Relationship Id="rId10" Type="http://schemas.openxmlformats.org/officeDocument/2006/relationships/hyperlink" Target="https://storage.googleapis.com/files-au-climate/climate-au/p/prj24edc1c28ff933a268e8f/page/A1%20The%20proposed%20scheduling%20decision%20for%20listing%20DP%20in%20Schedule%206.docx"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bt.enquiry@dfat.gov.au" TargetMode="External"/><Relationship Id="rId14" Type="http://schemas.openxmlformats.org/officeDocument/2006/relationships/hyperlink" Target="https://consult.dcceew.gov.au/ichems-s17-proposed-decision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A49DF-EA6A-4E7B-9BE2-27ABFD308666}">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3</Pages>
  <Words>970</Words>
  <Characters>5933</Characters>
  <Application>Microsoft Office Word</Application>
  <DocSecurity>0</DocSecurity>
  <Lines>127</Lines>
  <Paragraphs>69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2024-04-19T09:54:00Z</dcterms:created>
  <dcterms:modified xsi:type="dcterms:W3CDTF">2024-04-19T11:01:00Z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