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F74E" w14:textId="77777777" w:rsidR="009239F7" w:rsidRPr="002F6A28" w:rsidRDefault="00C1122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F7A3452" w14:textId="77777777" w:rsidR="009239F7" w:rsidRPr="002F6A28" w:rsidRDefault="00C1122F" w:rsidP="002F6A28">
      <w:pPr>
        <w:jc w:val="center"/>
      </w:pPr>
      <w:r w:rsidRPr="002F6A28">
        <w:t>The following notification is being circulated in accordance with Article 10.6</w:t>
      </w:r>
    </w:p>
    <w:p w14:paraId="5E35DE1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B0843" w14:paraId="4C103DB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39704CE" w14:textId="77777777" w:rsidR="00F85C99" w:rsidRPr="002F6A28" w:rsidRDefault="00C112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3A03FDB" w14:textId="77777777" w:rsidR="00F85C99" w:rsidRPr="002F6A28" w:rsidRDefault="00C1122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Australia</w:t>
            </w:r>
            <w:bookmarkEnd w:id="1"/>
            <w:r w:rsidRPr="002F6A28">
              <w:t xml:space="preserve"> </w:t>
            </w:r>
          </w:p>
          <w:p w14:paraId="15BE996A" w14:textId="77777777" w:rsidR="00F85C99" w:rsidRPr="002F6A28" w:rsidRDefault="00C1122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B0843" w14:paraId="0F0A26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C76E4" w14:textId="77777777" w:rsidR="00F85C99" w:rsidRPr="002F6A28" w:rsidRDefault="00C112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9C167" w14:textId="77777777" w:rsidR="00F85C99" w:rsidRPr="002F6A28" w:rsidRDefault="00C1122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Therapeutic Goods Administration, Department of Health</w:t>
            </w:r>
            <w:bookmarkEnd w:id="5"/>
          </w:p>
          <w:p w14:paraId="6A4D4536" w14:textId="77777777" w:rsidR="00F85C99" w:rsidRPr="002F6A28" w:rsidRDefault="00C1122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1651CAF" w14:textId="77777777" w:rsidR="00B93529" w:rsidRPr="002F6A28" w:rsidRDefault="00C1122F" w:rsidP="00AA646C">
            <w:pPr>
              <w:spacing w:after="120"/>
              <w:jc w:val="left"/>
            </w:pPr>
            <w:r w:rsidRPr="002F6A28">
              <w:t>Department of Foreign Affairs and Trade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tbt.enquiry@dfat.gov.au</w:t>
              </w:r>
            </w:hyperlink>
            <w:bookmarkEnd w:id="7"/>
          </w:p>
        </w:tc>
      </w:tr>
      <w:tr w:rsidR="001B0843" w14:paraId="28CED6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3A179" w14:textId="77777777" w:rsidR="00F85C99" w:rsidRPr="002F6A28" w:rsidRDefault="00C112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656DB" w14:textId="77777777" w:rsidR="00F85C99" w:rsidRPr="0058336F" w:rsidRDefault="00C1122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B0843" w14:paraId="29E9E7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2A094" w14:textId="77777777" w:rsidR="00F85C99" w:rsidRPr="002F6A28" w:rsidRDefault="00C112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70BBB" w14:textId="77777777" w:rsidR="00F85C99" w:rsidRPr="002F6A28" w:rsidRDefault="00C1122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Products regulated by the Therapeutic Goods Administration (TGA) as 'biologicals' including human tissue-based products (e.g., skin, bone, ocular, cardiovascular donor tissue); cell-based products (e.g., genetically modified cells); immunotherapy products containing genetically engineered human cells (e.g., CAR-T cells); products that comprise or contain live animal cells, tissues or organs (e.g., pancreatic islet cells isolated from pigs); autologous human cell and tissue (HCT) products (e.g., human stem cell transplants); and faecal microbiota transplant (FMT) products.; PHARMACEUTICAL PRODUCTS (HS 30)</w:t>
            </w:r>
            <w:bookmarkStart w:id="20" w:name="sps3a"/>
            <w:bookmarkEnd w:id="20"/>
          </w:p>
        </w:tc>
      </w:tr>
      <w:tr w:rsidR="001B0843" w14:paraId="31120B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33540" w14:textId="77777777" w:rsidR="00F85C99" w:rsidRPr="002F6A28" w:rsidRDefault="00C1122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E8E33" w14:textId="77777777" w:rsidR="00F85C99" w:rsidRPr="002F6A28" w:rsidRDefault="00C1122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Priority Review pathway for biologicals: feasibility, potential eligibility criteria and determination process (21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B0843" w14:paraId="446AA1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23A4F" w14:textId="77777777" w:rsidR="00F85C99" w:rsidRPr="002F6A28" w:rsidRDefault="00C112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39CEC" w14:textId="77777777" w:rsidR="00F85C99" w:rsidRPr="002F6A28" w:rsidRDefault="00C1122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Australia's Therapeutic Goods Administration (TGA) is seeking feedback on a proposed priority pathway for assessment of certain novel and </w:t>
            </w:r>
            <w:proofErr w:type="gramStart"/>
            <w:r w:rsidR="00FE448B" w:rsidRPr="00C379C8">
              <w:t>life-saving</w:t>
            </w:r>
            <w:proofErr w:type="gramEnd"/>
            <w:r w:rsidR="00FE448B" w:rsidRPr="00C379C8">
              <w:t xml:space="preserve"> </w:t>
            </w:r>
            <w:hyperlink r:id="rId8" w:history="1">
              <w:r w:rsidR="00FE448B" w:rsidRPr="00C379C8">
                <w:rPr>
                  <w:color w:val="0000FF"/>
                  <w:u w:val="single"/>
                </w:rPr>
                <w:t>biologicals</w:t>
              </w:r>
            </w:hyperlink>
            <w:r w:rsidR="00FE448B" w:rsidRPr="00C379C8">
              <w:t>. </w:t>
            </w:r>
          </w:p>
          <w:p w14:paraId="2B87FABA" w14:textId="77777777" w:rsidR="00FE448B" w:rsidRPr="00C379C8" w:rsidRDefault="00C1122F" w:rsidP="002F6A28">
            <w:pPr>
              <w:spacing w:after="120"/>
            </w:pPr>
            <w:r w:rsidRPr="00C379C8">
              <w:t xml:space="preserve">The proposed 'Priority Review' pathway will align with the pathway already in place for medicines and offer a faster formal assessment pathway for biologicals in certain circumstances. This will allow consumers with life-threatening diseases or seriously debilitating conditions to access these treatments in less time if the assessment results in a decision by the TGA to include the biological in the </w:t>
            </w:r>
            <w:hyperlink r:id="rId9" w:history="1">
              <w:r w:rsidRPr="00C379C8">
                <w:rPr>
                  <w:color w:val="0000FF"/>
                  <w:u w:val="single"/>
                </w:rPr>
                <w:t>Australian Register of Therapeutic Goods (ARTG)</w:t>
              </w:r>
            </w:hyperlink>
            <w:r w:rsidRPr="00C379C8">
              <w:t>.</w:t>
            </w:r>
          </w:p>
          <w:p w14:paraId="1AAA881D" w14:textId="77777777" w:rsidR="00FE448B" w:rsidRPr="00C379C8" w:rsidRDefault="00C1122F" w:rsidP="002F6A28">
            <w:pPr>
              <w:spacing w:after="120"/>
            </w:pPr>
            <w:r w:rsidRPr="00C379C8">
              <w:t xml:space="preserve">Australia does not currently have a formal mechanism to expedite the assessment and inclusion of biologicals in the ARTG. Depending on the feedback received, the TGA could propose to the Australian Government that a priority pathway be implemented for the pre-market assessment and registration of novel biologicals that address unmet clinical needs for Australian consumers. This would require changes to the </w:t>
            </w:r>
            <w:hyperlink r:id="rId10" w:history="1">
              <w:r w:rsidRPr="00C379C8">
                <w:rPr>
                  <w:color w:val="0000FF"/>
                  <w:u w:val="single"/>
                </w:rPr>
                <w:t>Therapeutic Goods Regulations 1990</w:t>
              </w:r>
            </w:hyperlink>
            <w:r w:rsidRPr="00C379C8">
              <w:t>.</w:t>
            </w:r>
          </w:p>
          <w:p w14:paraId="1B349282" w14:textId="77777777" w:rsidR="00FE448B" w:rsidRPr="00C379C8" w:rsidRDefault="00C1122F" w:rsidP="002F6A28">
            <w:pPr>
              <w:spacing w:after="120"/>
            </w:pPr>
            <w:r w:rsidRPr="00C379C8">
              <w:t>The TGA is conducting a public consultation on the proposed pathway between February 2022 and March 2022 to seek feedback on:</w:t>
            </w:r>
          </w:p>
          <w:p w14:paraId="4AE55420" w14:textId="77777777" w:rsidR="00FE448B" w:rsidRPr="00C379C8" w:rsidRDefault="00C1122F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lastRenderedPageBreak/>
              <w:t>whether stakeholders support introduction of such a pathway</w:t>
            </w:r>
          </w:p>
          <w:p w14:paraId="5AD933BA" w14:textId="77777777" w:rsidR="00FE448B" w:rsidRPr="00C379C8" w:rsidRDefault="00C1122F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eligibility criteria for the Priority Review pathway for biologicals</w:t>
            </w:r>
          </w:p>
          <w:p w14:paraId="59A25A2F" w14:textId="77777777" w:rsidR="00FE448B" w:rsidRPr="00C379C8" w:rsidRDefault="00C1122F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the Process for determining whether a biological application meets the eligibility criteria for Priority Review (the 'Determination Process').</w:t>
            </w:r>
          </w:p>
        </w:tc>
      </w:tr>
      <w:tr w:rsidR="001B0843" w14:paraId="0BC3A8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BEEB4" w14:textId="77777777" w:rsidR="00F85C99" w:rsidRPr="002F6A28" w:rsidRDefault="00C112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14B67" w14:textId="77777777" w:rsidR="00F85C99" w:rsidRPr="002F6A28" w:rsidRDefault="00C1122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The objectives of the proposed Priority Review pathway are to: </w:t>
            </w:r>
          </w:p>
          <w:p w14:paraId="17768A5C" w14:textId="77777777" w:rsidR="00EE3A11" w:rsidRPr="00C379C8" w:rsidRDefault="00C1122F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assist in achieving a faster assessment and earlier access to certain novel and life-saving biologicals that address unmet clinical needs for Australian consumers, bringing these to market faster than using standard evaluation pathways</w:t>
            </w:r>
          </w:p>
          <w:p w14:paraId="39A69A07" w14:textId="77777777" w:rsidR="00EE3A11" w:rsidRPr="00C379C8" w:rsidRDefault="00C1122F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provide timely and flexible registration processes for sponsors seeking access to the Australian market for new and novel uses of biologicals that offer substantial benefits to Australian consumers</w:t>
            </w:r>
          </w:p>
          <w:p w14:paraId="476FD7A2" w14:textId="77777777" w:rsidR="00EE3A11" w:rsidRPr="00C379C8" w:rsidRDefault="00C1122F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increase alignment with other overseas regulators that offer accelerated assessment processes.</w:t>
            </w:r>
          </w:p>
          <w:p w14:paraId="28B03A92" w14:textId="77777777" w:rsidR="00EE3A11" w:rsidRPr="00C379C8" w:rsidRDefault="00C1122F" w:rsidP="002F6A28">
            <w:pPr>
              <w:spacing w:before="120" w:after="120"/>
            </w:pPr>
            <w:r w:rsidRPr="00C379C8">
              <w:t>Protection of human health or safety; Harmonization</w:t>
            </w:r>
            <w:bookmarkStart w:id="27" w:name="sps7f"/>
            <w:bookmarkEnd w:id="27"/>
          </w:p>
        </w:tc>
      </w:tr>
      <w:tr w:rsidR="001B0843" w14:paraId="39AC28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3E37C" w14:textId="77777777" w:rsidR="00F85C99" w:rsidRPr="002F6A28" w:rsidRDefault="00C1122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AFB05" w14:textId="77777777" w:rsidR="00072B36" w:rsidRPr="002F6A28" w:rsidRDefault="00C1122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6CA2BE" w14:textId="77777777" w:rsidR="00F85C99" w:rsidRPr="002F6A28" w:rsidRDefault="00C1122F" w:rsidP="009E75ED">
            <w:pPr>
              <w:spacing w:before="120" w:after="120"/>
            </w:pPr>
            <w:r w:rsidRPr="002F6A28">
              <w:rPr>
                <w:bCs/>
              </w:rPr>
              <w:t xml:space="preserve">The consultation paper on the proposed Priority Review pathway is available at </w:t>
            </w:r>
            <w:hyperlink r:id="rId11" w:history="1">
              <w:r w:rsidRPr="002F6A28">
                <w:rPr>
                  <w:bCs/>
                  <w:color w:val="0000FF"/>
                  <w:u w:val="single"/>
                </w:rPr>
                <w:t>https://consultations.tga.gov.au/medicines-regulation-division/priority-review-pathway-for-biologicals</w:t>
              </w:r>
            </w:hyperlink>
            <w:r w:rsidRPr="002F6A28">
              <w:rPr>
                <w:bCs/>
              </w:rPr>
              <w:t>. This document outlines the proposed eligibility criteria, determination process and other considerations including fees and charges.</w:t>
            </w:r>
          </w:p>
        </w:tc>
      </w:tr>
      <w:tr w:rsidR="001B0843" w14:paraId="1C7CD9E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CD41B" w14:textId="77777777" w:rsidR="00EE3A11" w:rsidRPr="002F6A28" w:rsidRDefault="00C112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1E048" w14:textId="77777777" w:rsidR="00EE3A11" w:rsidRPr="002F6A28" w:rsidRDefault="00C1122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If supported by stakeholders, the TGA could propose to the Australian Government to introduce the pathway within the next 12 months.</w:t>
            </w:r>
            <w:bookmarkEnd w:id="31"/>
          </w:p>
          <w:p w14:paraId="7FF60724" w14:textId="77777777" w:rsidR="00EE3A11" w:rsidRPr="002F6A28" w:rsidRDefault="00C1122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If supported by stakeholders, the TGA could propose to the Australian Government to introduce the pathway within the next 12 months.</w:t>
            </w:r>
            <w:bookmarkEnd w:id="34"/>
          </w:p>
        </w:tc>
      </w:tr>
      <w:tr w:rsidR="001B0843" w14:paraId="118C80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F527E" w14:textId="77777777" w:rsidR="00F85C99" w:rsidRPr="002F6A28" w:rsidRDefault="00C1122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CB019" w14:textId="77777777" w:rsidR="00F85C99" w:rsidRPr="002F6A28" w:rsidRDefault="00C1122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B0843" w14:paraId="4C48D20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62BA5E4" w14:textId="77777777" w:rsidR="00F85C99" w:rsidRPr="002F6A28" w:rsidRDefault="00C1122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387F66A" w14:textId="77777777" w:rsidR="00F85C99" w:rsidRPr="002F6A28" w:rsidRDefault="00C1122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205317F" w14:textId="77777777" w:rsidR="00B93529" w:rsidRPr="002F6A28" w:rsidRDefault="00DF1564" w:rsidP="00B16145">
            <w:pPr>
              <w:keepNext/>
              <w:keepLines/>
              <w:spacing w:before="120" w:after="120"/>
            </w:pPr>
            <w:hyperlink r:id="rId12" w:history="1">
              <w:r w:rsidR="00C1122F" w:rsidRPr="002F6A28">
                <w:rPr>
                  <w:color w:val="0000FF"/>
                  <w:u w:val="single"/>
                </w:rPr>
                <w:t>https://consultations.tga.gov.au/medicines-regulation-division/priority-review-pathway-for-biologicals</w:t>
              </w:r>
            </w:hyperlink>
            <w:bookmarkEnd w:id="40"/>
          </w:p>
        </w:tc>
      </w:tr>
    </w:tbl>
    <w:p w14:paraId="20AEC20B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4AC0" w14:textId="77777777" w:rsidR="00647E7A" w:rsidRDefault="00C1122F">
      <w:r>
        <w:separator/>
      </w:r>
    </w:p>
  </w:endnote>
  <w:endnote w:type="continuationSeparator" w:id="0">
    <w:p w14:paraId="704359C2" w14:textId="77777777" w:rsidR="00647E7A" w:rsidRDefault="00C1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13E7" w14:textId="77777777" w:rsidR="009239F7" w:rsidRPr="002F6A28" w:rsidRDefault="00C1122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5063" w14:textId="77777777" w:rsidR="009239F7" w:rsidRPr="002F6A28" w:rsidRDefault="00C1122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6D65" w14:textId="77777777" w:rsidR="00EE3A11" w:rsidRPr="002F6A28" w:rsidRDefault="00C1122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F5DD" w14:textId="77777777" w:rsidR="00647E7A" w:rsidRDefault="00C1122F">
      <w:r>
        <w:separator/>
      </w:r>
    </w:p>
  </w:footnote>
  <w:footnote w:type="continuationSeparator" w:id="0">
    <w:p w14:paraId="13A7C7C5" w14:textId="77777777" w:rsidR="00647E7A" w:rsidRDefault="00C1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E73C" w14:textId="77777777" w:rsidR="009239F7" w:rsidRPr="002F6A28" w:rsidRDefault="00C112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FD2D60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6A378B" w14:textId="77777777" w:rsidR="009239F7" w:rsidRPr="002F6A28" w:rsidRDefault="00C112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E1974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4FD3" w14:textId="77777777" w:rsidR="009239F7" w:rsidRPr="002F6A28" w:rsidRDefault="00C112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G/TBT/N/AUS/138</w:t>
    </w:r>
    <w:bookmarkEnd w:id="41"/>
  </w:p>
  <w:p w14:paraId="64EE194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4CD1E0" w14:textId="77777777" w:rsidR="009239F7" w:rsidRPr="002F6A28" w:rsidRDefault="00C1122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1C356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0843" w14:paraId="57392A8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641E5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ED148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B0843" w14:paraId="387C9A8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2057D3" w14:textId="77777777" w:rsidR="00ED54E0" w:rsidRPr="009239F7" w:rsidRDefault="00C1122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C4B799" wp14:editId="31C434D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57690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D6260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B0843" w14:paraId="72E1B6B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400BC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116F24" w14:textId="77777777" w:rsidR="009239F7" w:rsidRPr="002F6A28" w:rsidRDefault="00C1122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G/TBT/N/AUS/138</w:t>
          </w:r>
          <w:bookmarkEnd w:id="43"/>
        </w:p>
      </w:tc>
    </w:tr>
    <w:tr w:rsidR="001B0843" w14:paraId="4733346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2B16B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27585" w14:textId="22753AC2" w:rsidR="00ED54E0" w:rsidRPr="009239F7" w:rsidRDefault="00C1122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 March 2022</w:t>
          </w:r>
        </w:p>
      </w:tc>
    </w:tr>
    <w:tr w:rsidR="001B0843" w14:paraId="65BA213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6E1908" w14:textId="2305689B" w:rsidR="00ED54E0" w:rsidRPr="009239F7" w:rsidRDefault="00C1122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DF1564">
            <w:rPr>
              <w:color w:val="FF0000"/>
              <w:szCs w:val="16"/>
            </w:rPr>
            <w:t>1935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C2F192" w14:textId="77777777" w:rsidR="00ED54E0" w:rsidRPr="009239F7" w:rsidRDefault="00C1122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B0843" w14:paraId="7F99C25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991725" w14:textId="77777777" w:rsidR="00ED54E0" w:rsidRPr="009239F7" w:rsidRDefault="00C1122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19A9F3" w14:textId="77777777" w:rsidR="00ED54E0" w:rsidRPr="002F6A28" w:rsidRDefault="00C1122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8C269F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EC25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A0096A" w:tentative="1">
      <w:start w:val="1"/>
      <w:numFmt w:val="lowerLetter"/>
      <w:lvlText w:val="%2."/>
      <w:lvlJc w:val="left"/>
      <w:pPr>
        <w:ind w:left="1080" w:hanging="360"/>
      </w:pPr>
    </w:lvl>
    <w:lvl w:ilvl="2" w:tplc="655ABD34" w:tentative="1">
      <w:start w:val="1"/>
      <w:numFmt w:val="lowerRoman"/>
      <w:lvlText w:val="%3."/>
      <w:lvlJc w:val="right"/>
      <w:pPr>
        <w:ind w:left="1800" w:hanging="180"/>
      </w:pPr>
    </w:lvl>
    <w:lvl w:ilvl="3" w:tplc="14A44AEC" w:tentative="1">
      <w:start w:val="1"/>
      <w:numFmt w:val="decimal"/>
      <w:lvlText w:val="%4."/>
      <w:lvlJc w:val="left"/>
      <w:pPr>
        <w:ind w:left="2520" w:hanging="360"/>
      </w:pPr>
    </w:lvl>
    <w:lvl w:ilvl="4" w:tplc="A978E354" w:tentative="1">
      <w:start w:val="1"/>
      <w:numFmt w:val="lowerLetter"/>
      <w:lvlText w:val="%5."/>
      <w:lvlJc w:val="left"/>
      <w:pPr>
        <w:ind w:left="3240" w:hanging="360"/>
      </w:pPr>
    </w:lvl>
    <w:lvl w:ilvl="5" w:tplc="B970844A" w:tentative="1">
      <w:start w:val="1"/>
      <w:numFmt w:val="lowerRoman"/>
      <w:lvlText w:val="%6."/>
      <w:lvlJc w:val="right"/>
      <w:pPr>
        <w:ind w:left="3960" w:hanging="180"/>
      </w:pPr>
    </w:lvl>
    <w:lvl w:ilvl="6" w:tplc="6C78B8C8" w:tentative="1">
      <w:start w:val="1"/>
      <w:numFmt w:val="decimal"/>
      <w:lvlText w:val="%7."/>
      <w:lvlJc w:val="left"/>
      <w:pPr>
        <w:ind w:left="4680" w:hanging="360"/>
      </w:pPr>
    </w:lvl>
    <w:lvl w:ilvl="7" w:tplc="86027A6A" w:tentative="1">
      <w:start w:val="1"/>
      <w:numFmt w:val="lowerLetter"/>
      <w:lvlText w:val="%8."/>
      <w:lvlJc w:val="left"/>
      <w:pPr>
        <w:ind w:left="5400" w:hanging="360"/>
      </w:pPr>
    </w:lvl>
    <w:lvl w:ilvl="8" w:tplc="CFEC48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75CA5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56D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C2A9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3426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0EAB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D060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44B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BA6E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884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2FEAAE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8E7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B8FC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26D0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BA6E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EC4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ED283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AE44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BE7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B0843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89A"/>
    <w:rsid w:val="005F30CB"/>
    <w:rsid w:val="005F6444"/>
    <w:rsid w:val="00612644"/>
    <w:rsid w:val="00623F9F"/>
    <w:rsid w:val="00643C1F"/>
    <w:rsid w:val="00647E7A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2DAC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3529"/>
    <w:rsid w:val="00B97638"/>
    <w:rsid w:val="00BB0455"/>
    <w:rsid w:val="00BB1F84"/>
    <w:rsid w:val="00BE5468"/>
    <w:rsid w:val="00BF59EC"/>
    <w:rsid w:val="00C1122F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1564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19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a.gov.au/what-regulated-biologica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bt.enquiry@dfat.gov.au" TargetMode="External"/><Relationship Id="rId12" Type="http://schemas.openxmlformats.org/officeDocument/2006/relationships/hyperlink" Target="https://consultations.tga.gov.au/medicines-regulation-division/priority-review-pathway-for-biological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sultations.tga.gov.au/medicines-regulation-division/priority-review-pathway-for-biologica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gislation.gov.au/Series/F1996B004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ga.gov.au/australian-register-therapeutic-goods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4157</Characters>
  <Application>Microsoft Office Word</Application>
  <DocSecurity>0</DocSecurity>
  <Lines>83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2022-03-02T07:33:00Z</dcterms:created>
  <dcterms:modified xsi:type="dcterms:W3CDTF">2022-03-02T07:55:00Z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