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A904" w14:textId="77777777" w:rsidR="009239F7" w:rsidRPr="002F6A28" w:rsidRDefault="00C06B6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E78DC90" w14:textId="77777777" w:rsidR="009239F7" w:rsidRPr="002F6A28" w:rsidRDefault="00C06B61" w:rsidP="002F6A28">
      <w:pPr>
        <w:jc w:val="center"/>
      </w:pPr>
      <w:r w:rsidRPr="002F6A28">
        <w:t>The following notification is being circulated in accordance with Article 10.6</w:t>
      </w:r>
    </w:p>
    <w:p w14:paraId="2DB25F8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5586" w14:paraId="121E7C6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F08529B" w14:textId="77777777" w:rsidR="00F85C99" w:rsidRPr="002F6A28" w:rsidRDefault="00C06B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55C87E" w14:textId="77777777" w:rsidR="00F85C99" w:rsidRPr="002F6A28" w:rsidRDefault="00C06B6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ARMENIA</w:t>
            </w:r>
            <w:bookmarkEnd w:id="1"/>
          </w:p>
          <w:p w14:paraId="0EF96EDB" w14:textId="77777777" w:rsidR="00F85C99" w:rsidRPr="002F6A28" w:rsidRDefault="00C06B6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5586" w14:paraId="547142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6979D" w14:textId="77777777" w:rsidR="00F85C99" w:rsidRPr="002F6A28" w:rsidRDefault="00C06B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33DF9" w14:textId="77777777" w:rsidR="00F85C99" w:rsidRPr="002F6A28" w:rsidRDefault="00C06B6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AD4E6E" w14:textId="77777777" w:rsidR="00EE3A11" w:rsidRPr="00C379C8" w:rsidRDefault="00C06B61" w:rsidP="00155128">
            <w:r w:rsidRPr="00C379C8">
              <w:t>Eurasian Economic Commission</w:t>
            </w:r>
          </w:p>
          <w:p w14:paraId="63A684AF" w14:textId="77777777" w:rsidR="00EE3A11" w:rsidRPr="00C379C8" w:rsidRDefault="00C06B61" w:rsidP="00155128">
            <w:pPr>
              <w:spacing w:after="120"/>
            </w:pPr>
            <w:r w:rsidRPr="00C379C8">
              <w:t>Department for Technical Regulation and Accreditation</w:t>
            </w:r>
            <w:bookmarkEnd w:id="5"/>
          </w:p>
          <w:p w14:paraId="063D2CA8" w14:textId="77777777" w:rsidR="00F85C99" w:rsidRPr="002F6A28" w:rsidRDefault="00C06B6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3E6DEE7" w14:textId="77777777" w:rsidR="00AC6C6E" w:rsidRPr="00C379C8" w:rsidRDefault="00C06B61" w:rsidP="00AA646C">
            <w:r w:rsidRPr="00C379C8">
              <w:t>Tel: +7(495)669-24-00</w:t>
            </w:r>
          </w:p>
          <w:p w14:paraId="7B0234C2" w14:textId="77777777" w:rsidR="00AC6C6E" w:rsidRPr="00C379C8" w:rsidRDefault="00C06B61" w:rsidP="00AA646C">
            <w:r w:rsidRPr="00C379C8">
              <w:t>Fax: +7(495)669-24-15</w:t>
            </w:r>
          </w:p>
          <w:p w14:paraId="1EAEE599" w14:textId="77777777" w:rsidR="00AC6C6E" w:rsidRPr="00C379C8" w:rsidRDefault="00C06B61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dept_techregulation@eurasiancommission.org</w:t>
              </w:r>
            </w:hyperlink>
          </w:p>
          <w:p w14:paraId="36AAE072" w14:textId="77777777" w:rsidR="00AC6C6E" w:rsidRPr="00C379C8" w:rsidRDefault="00C06B61" w:rsidP="00AA646C">
            <w:pPr>
              <w:spacing w:after="120"/>
            </w:pPr>
            <w:r w:rsidRPr="00C379C8">
              <w:t>Website: www.eurasiancommission.org</w:t>
            </w:r>
            <w:bookmarkEnd w:id="7"/>
          </w:p>
        </w:tc>
      </w:tr>
      <w:tr w:rsidR="00F95586" w14:paraId="264F5C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8F8A9" w14:textId="77777777" w:rsidR="00F85C99" w:rsidRPr="002F6A28" w:rsidRDefault="00C06B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834D3" w14:textId="77777777" w:rsidR="00F85C99" w:rsidRPr="0058336F" w:rsidRDefault="00C06B6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95586" w14:paraId="4707BA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79EED" w14:textId="77777777" w:rsidR="00F85C99" w:rsidRPr="002F6A28" w:rsidRDefault="00C06B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8D95E" w14:textId="77777777" w:rsidR="00F85C99" w:rsidRPr="002F6A28" w:rsidRDefault="00C06B6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Perfume and cosmetics products</w:t>
            </w:r>
            <w:bookmarkEnd w:id="22"/>
          </w:p>
        </w:tc>
      </w:tr>
      <w:tr w:rsidR="00F95586" w14:paraId="468271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8E10B" w14:textId="77777777" w:rsidR="00F85C99" w:rsidRPr="002F6A28" w:rsidRDefault="00C06B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E2948" w14:textId="77777777" w:rsidR="00F85C99" w:rsidRPr="002F6A28" w:rsidRDefault="00C06B6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Amendments to the Customs Union technical regulation "On safety of Perfume and Cosmetic Products" (CU TR 009/2011); (52 page(s), in Russian)</w:t>
            </w:r>
            <w:bookmarkEnd w:id="24"/>
          </w:p>
        </w:tc>
      </w:tr>
      <w:tr w:rsidR="00F95586" w14:paraId="772280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C5970" w14:textId="77777777" w:rsidR="00F85C99" w:rsidRPr="002F6A28" w:rsidRDefault="00C06B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FD6DC" w14:textId="77777777" w:rsidR="00F85C99" w:rsidRPr="002F6A28" w:rsidRDefault="00C06B6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Updating of Annexes 1-5 to the Customs Union Technical Regulation "On Safety of Perfumes and Cosmetic Products" (CU TR 009/2011)</w:t>
            </w:r>
            <w:bookmarkEnd w:id="26"/>
          </w:p>
        </w:tc>
      </w:tr>
      <w:tr w:rsidR="00F95586" w14:paraId="1A98C7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9388C" w14:textId="77777777" w:rsidR="00F85C99" w:rsidRPr="002F6A28" w:rsidRDefault="00C06B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AF0E7" w14:textId="77777777" w:rsidR="00F85C99" w:rsidRPr="002F6A28" w:rsidRDefault="00C06B6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95586" w14:paraId="6AFB2E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9C334" w14:textId="77777777" w:rsidR="00F85C99" w:rsidRPr="002F6A28" w:rsidRDefault="00C06B6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29D60" w14:textId="77777777" w:rsidR="00072B36" w:rsidRPr="002F6A28" w:rsidRDefault="00C06B6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85C2C89" w14:textId="77777777" w:rsidR="00F85C99" w:rsidRPr="002F6A28" w:rsidRDefault="00C06B61" w:rsidP="009E75ED">
            <w:pPr>
              <w:spacing w:before="120" w:after="120"/>
            </w:pPr>
            <w:bookmarkStart w:id="30" w:name="sps9a"/>
            <w:r w:rsidRPr="002F6A28">
              <w:t>Amendments to the Customs Union technical regulation "On safety of Perfume and Cosmetic Products" (CU TR 009/2011)</w:t>
            </w:r>
          </w:p>
          <w:p w14:paraId="63257A9B" w14:textId="77777777" w:rsidR="00F85C99" w:rsidRPr="002F6A28" w:rsidRDefault="005E022F" w:rsidP="009E75ED">
            <w:pPr>
              <w:spacing w:before="120" w:after="120"/>
            </w:pPr>
            <w:hyperlink r:id="rId8" w:anchor="ContentTypeId=%5B%5D" w:history="1">
              <w:r w:rsidR="00C06B61" w:rsidRPr="002F6A28">
                <w:t>https://docs.eaeunion.org/ru-ru/Pages/regulation.aspx#ContentTypeId=%5B%5D</w:t>
              </w:r>
            </w:hyperlink>
          </w:p>
          <w:p w14:paraId="2FDD694C" w14:textId="77777777" w:rsidR="00F85C99" w:rsidRPr="002F6A28" w:rsidRDefault="00C06B61" w:rsidP="009E75ED">
            <w:pPr>
              <w:spacing w:before="120" w:after="120"/>
            </w:pPr>
            <w:r w:rsidRPr="002F6A28">
              <w:t>The Customs Union technical regulation "On safety of Perfume and Cosmetic Products" (CU TR 009/2011)</w:t>
            </w:r>
          </w:p>
          <w:p w14:paraId="5C1D4C0B" w14:textId="77777777" w:rsidR="00F85C99" w:rsidRPr="002F6A28" w:rsidRDefault="005E022F" w:rsidP="009E75ED">
            <w:pPr>
              <w:spacing w:before="120" w:after="120"/>
            </w:pPr>
            <w:hyperlink r:id="rId9" w:history="1">
              <w:r w:rsidR="00C06B61" w:rsidRPr="002F6A28">
                <w:rPr>
                  <w:color w:val="0000FF"/>
                  <w:u w:val="single"/>
                </w:rPr>
                <w:t>http://www.eurasiancommission.org/ru/act/texnreg/deptexreg/tr/Pages/bezopParfum.aspx</w:t>
              </w:r>
            </w:hyperlink>
            <w:bookmarkEnd w:id="30"/>
          </w:p>
        </w:tc>
      </w:tr>
      <w:tr w:rsidR="00F95586" w14:paraId="23233C3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512DC" w14:textId="77777777" w:rsidR="00EE3A11" w:rsidRPr="002F6A28" w:rsidRDefault="00C06B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1535E" w14:textId="77777777" w:rsidR="00EE3A11" w:rsidRPr="002F6A28" w:rsidRDefault="00C06B6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8F827FF" w14:textId="77777777" w:rsidR="00EE3A11" w:rsidRPr="002F6A28" w:rsidRDefault="00C06B6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95586" w14:paraId="6ADDD7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A47B4" w14:textId="77777777" w:rsidR="00F85C99" w:rsidRPr="002F6A28" w:rsidRDefault="00C06B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D7493" w14:textId="77777777" w:rsidR="00F85C99" w:rsidRPr="002F6A28" w:rsidRDefault="00C06B6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95586" w14:paraId="18880BA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8E5CFD" w14:textId="77777777" w:rsidR="00F85C99" w:rsidRPr="002F6A28" w:rsidRDefault="00C06B6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924879" w14:textId="77777777" w:rsidR="00F85C99" w:rsidRPr="002F6A28" w:rsidRDefault="00C06B6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F33FBF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Eurasian Economic Commission</w:t>
            </w:r>
          </w:p>
          <w:p w14:paraId="73E14A8A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Technical regulation and accreditation</w:t>
            </w:r>
          </w:p>
          <w:p w14:paraId="24F58D44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2, Letnikovskaya Lane</w:t>
            </w:r>
          </w:p>
          <w:p w14:paraId="7B392A5D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105064 Moscow, Russian Federation</w:t>
            </w:r>
          </w:p>
          <w:p w14:paraId="5B1B289F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+(7 495) 669 24 00</w:t>
            </w:r>
          </w:p>
          <w:p w14:paraId="3BF238E6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+(7 495) 669 24 15</w:t>
            </w:r>
          </w:p>
          <w:p w14:paraId="567DA0ED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dept_techregulation@eecommission.org</w:t>
              </w:r>
            </w:hyperlink>
          </w:p>
          <w:p w14:paraId="2C9387FB" w14:textId="77777777" w:rsidR="00EE3A11" w:rsidRPr="00A12DDE" w:rsidRDefault="00C06B6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Web-site:www.eurasiancommission.org</w:t>
            </w:r>
          </w:p>
          <w:p w14:paraId="32D46088" w14:textId="77777777" w:rsidR="00EE3A11" w:rsidRPr="00A12DDE" w:rsidRDefault="005E022F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C06B61" w:rsidRPr="00A12DDE">
                <w:rPr>
                  <w:bCs/>
                  <w:color w:val="0000FF"/>
                  <w:u w:val="single"/>
                </w:rPr>
                <w:t>https://docs.eaeunion.org/en-us</w:t>
              </w:r>
            </w:hyperlink>
            <w:bookmarkEnd w:id="42"/>
          </w:p>
        </w:tc>
      </w:tr>
    </w:tbl>
    <w:p w14:paraId="36342C7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C16D" w14:textId="77777777" w:rsidR="00A02080" w:rsidRDefault="00C06B61">
      <w:r>
        <w:separator/>
      </w:r>
    </w:p>
  </w:endnote>
  <w:endnote w:type="continuationSeparator" w:id="0">
    <w:p w14:paraId="5D9A2CE1" w14:textId="77777777" w:rsidR="00A02080" w:rsidRDefault="00C0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505F" w14:textId="77777777" w:rsidR="009239F7" w:rsidRPr="002F6A28" w:rsidRDefault="00C06B6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96BC" w14:textId="77777777" w:rsidR="009239F7" w:rsidRPr="002F6A28" w:rsidRDefault="00C06B6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15B5" w14:textId="77777777" w:rsidR="00EE3A11" w:rsidRPr="002F6A28" w:rsidRDefault="00C06B6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6B16" w14:textId="77777777" w:rsidR="00A02080" w:rsidRDefault="00C06B61">
      <w:r>
        <w:separator/>
      </w:r>
    </w:p>
  </w:footnote>
  <w:footnote w:type="continuationSeparator" w:id="0">
    <w:p w14:paraId="7719E961" w14:textId="77777777" w:rsidR="00A02080" w:rsidRDefault="00C0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1A70" w14:textId="77777777" w:rsidR="009239F7" w:rsidRPr="002F6A28" w:rsidRDefault="00C06B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A7DF0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8E0E47" w14:textId="77777777" w:rsidR="009239F7" w:rsidRPr="002F6A28" w:rsidRDefault="00C06B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C671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E46" w14:textId="77777777" w:rsidR="009239F7" w:rsidRPr="002F6A28" w:rsidRDefault="00C06B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G/TBT/N/ARM/89</w:t>
    </w:r>
    <w:bookmarkEnd w:id="43"/>
  </w:p>
  <w:p w14:paraId="47C5B2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5E6FE9" w14:textId="77777777" w:rsidR="009239F7" w:rsidRPr="002F6A28" w:rsidRDefault="00C06B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F7FE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5586" w14:paraId="130E9C1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4765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DA48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95586" w14:paraId="7D490A3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8753FC" w14:textId="77777777" w:rsidR="00ED54E0" w:rsidRPr="009239F7" w:rsidRDefault="00C06B6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F2DE1F" wp14:editId="513FFBB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079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ADA96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5586" w14:paraId="17E97BA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18ECF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47A09D" w14:textId="77777777" w:rsidR="009239F7" w:rsidRPr="002F6A28" w:rsidRDefault="00C06B6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G/TBT/N/ARM/89</w:t>
          </w:r>
          <w:bookmarkEnd w:id="45"/>
        </w:p>
      </w:tc>
    </w:tr>
    <w:tr w:rsidR="00F95586" w14:paraId="0C2DD1D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38AC1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F2867" w14:textId="4332AAA9" w:rsidR="00ED54E0" w:rsidRPr="009239F7" w:rsidRDefault="00C06B6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February 2023</w:t>
          </w:r>
        </w:p>
      </w:tc>
    </w:tr>
    <w:tr w:rsidR="00F95586" w14:paraId="0A56638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D8A19D" w14:textId="5629087B" w:rsidR="00ED54E0" w:rsidRPr="009239F7" w:rsidRDefault="00C06B6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E022F">
            <w:rPr>
              <w:color w:val="FF0000"/>
              <w:szCs w:val="16"/>
            </w:rPr>
            <w:t>1283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BCE2D3" w14:textId="77777777" w:rsidR="00ED54E0" w:rsidRPr="009239F7" w:rsidRDefault="00C06B6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95586" w14:paraId="3E4218E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46E89" w14:textId="77777777" w:rsidR="00ED54E0" w:rsidRPr="009239F7" w:rsidRDefault="00C06B6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813E5D" w14:textId="77777777" w:rsidR="00ED54E0" w:rsidRPr="002F6A28" w:rsidRDefault="00C06B6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8C31D3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D619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E62B2C" w:tentative="1">
      <w:start w:val="1"/>
      <w:numFmt w:val="lowerLetter"/>
      <w:lvlText w:val="%2."/>
      <w:lvlJc w:val="left"/>
      <w:pPr>
        <w:ind w:left="1080" w:hanging="360"/>
      </w:pPr>
    </w:lvl>
    <w:lvl w:ilvl="2" w:tplc="9A423D66" w:tentative="1">
      <w:start w:val="1"/>
      <w:numFmt w:val="lowerRoman"/>
      <w:lvlText w:val="%3."/>
      <w:lvlJc w:val="right"/>
      <w:pPr>
        <w:ind w:left="1800" w:hanging="180"/>
      </w:pPr>
    </w:lvl>
    <w:lvl w:ilvl="3" w:tplc="DBD04FF8" w:tentative="1">
      <w:start w:val="1"/>
      <w:numFmt w:val="decimal"/>
      <w:lvlText w:val="%4."/>
      <w:lvlJc w:val="left"/>
      <w:pPr>
        <w:ind w:left="2520" w:hanging="360"/>
      </w:pPr>
    </w:lvl>
    <w:lvl w:ilvl="4" w:tplc="518E1460" w:tentative="1">
      <w:start w:val="1"/>
      <w:numFmt w:val="lowerLetter"/>
      <w:lvlText w:val="%5."/>
      <w:lvlJc w:val="left"/>
      <w:pPr>
        <w:ind w:left="3240" w:hanging="360"/>
      </w:pPr>
    </w:lvl>
    <w:lvl w:ilvl="5" w:tplc="2C06558C" w:tentative="1">
      <w:start w:val="1"/>
      <w:numFmt w:val="lowerRoman"/>
      <w:lvlText w:val="%6."/>
      <w:lvlJc w:val="right"/>
      <w:pPr>
        <w:ind w:left="3960" w:hanging="180"/>
      </w:pPr>
    </w:lvl>
    <w:lvl w:ilvl="6" w:tplc="41107FB8" w:tentative="1">
      <w:start w:val="1"/>
      <w:numFmt w:val="decimal"/>
      <w:lvlText w:val="%7."/>
      <w:lvlJc w:val="left"/>
      <w:pPr>
        <w:ind w:left="4680" w:hanging="360"/>
      </w:pPr>
    </w:lvl>
    <w:lvl w:ilvl="7" w:tplc="250A740E" w:tentative="1">
      <w:start w:val="1"/>
      <w:numFmt w:val="lowerLetter"/>
      <w:lvlText w:val="%8."/>
      <w:lvlJc w:val="left"/>
      <w:pPr>
        <w:ind w:left="5400" w:hanging="360"/>
      </w:pPr>
    </w:lvl>
    <w:lvl w:ilvl="8" w:tplc="B088E2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008749">
    <w:abstractNumId w:val="9"/>
  </w:num>
  <w:num w:numId="2" w16cid:durableId="925304845">
    <w:abstractNumId w:val="7"/>
  </w:num>
  <w:num w:numId="3" w16cid:durableId="1901865118">
    <w:abstractNumId w:val="6"/>
  </w:num>
  <w:num w:numId="4" w16cid:durableId="83234701">
    <w:abstractNumId w:val="5"/>
  </w:num>
  <w:num w:numId="5" w16cid:durableId="31152201">
    <w:abstractNumId w:val="4"/>
  </w:num>
  <w:num w:numId="6" w16cid:durableId="1053695510">
    <w:abstractNumId w:val="12"/>
  </w:num>
  <w:num w:numId="7" w16cid:durableId="1983995005">
    <w:abstractNumId w:val="11"/>
  </w:num>
  <w:num w:numId="8" w16cid:durableId="2146849327">
    <w:abstractNumId w:val="10"/>
  </w:num>
  <w:num w:numId="9" w16cid:durableId="1903831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326483">
    <w:abstractNumId w:val="13"/>
  </w:num>
  <w:num w:numId="11" w16cid:durableId="713577757">
    <w:abstractNumId w:val="8"/>
  </w:num>
  <w:num w:numId="12" w16cid:durableId="1648438047">
    <w:abstractNumId w:val="3"/>
  </w:num>
  <w:num w:numId="13" w16cid:durableId="214901029">
    <w:abstractNumId w:val="2"/>
  </w:num>
  <w:num w:numId="14" w16cid:durableId="442044739">
    <w:abstractNumId w:val="1"/>
  </w:num>
  <w:num w:numId="15" w16cid:durableId="13840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18ED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22F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7FF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2080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6B61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5586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78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u-ru/Pages/regulation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_techregulation@eurasiancommission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aeunion.org/en-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pt_techregulation@eecommissio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urasiancommission.org/ru/act/texnreg/deptexreg/tr/Pages/bezopParfum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321</Words>
  <Characters>2101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2023-02-23T08:55:00Z</dcterms:created>
  <dcterms:modified xsi:type="dcterms:W3CDTF">2023-02-23T09:04:00Z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