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1E4E" w14:textId="77777777" w:rsidR="00EA4725" w:rsidRPr="00441372" w:rsidRDefault="0003592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94579" w14:paraId="4DA3656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CC52F4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973274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NORWAY</w:t>
            </w:r>
          </w:p>
          <w:p w14:paraId="5D7787D9" w14:textId="77777777" w:rsidR="00EA4725" w:rsidRPr="00441372" w:rsidRDefault="0003592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94579" w14:paraId="71B2D0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5E488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CED28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Norwegian Food Safety Authority</w:t>
            </w:r>
          </w:p>
        </w:tc>
      </w:tr>
      <w:tr w:rsidR="00094579" w14:paraId="156711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1D416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233B9" w14:textId="60685531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Fertili</w:t>
            </w:r>
            <w:r>
              <w:t>z</w:t>
            </w:r>
            <w:r w:rsidRPr="0065690F">
              <w:t>ing products of organic origin and certain inorganic fertili</w:t>
            </w:r>
            <w:r>
              <w:t>z</w:t>
            </w:r>
            <w:r w:rsidRPr="0065690F">
              <w:t>ing products</w:t>
            </w:r>
          </w:p>
        </w:tc>
      </w:tr>
      <w:tr w:rsidR="00094579" w14:paraId="352885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61F8D" w14:textId="77777777" w:rsidR="00EA4725" w:rsidRPr="00441372" w:rsidRDefault="000359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5396B" w14:textId="77777777" w:rsidR="00EA4725" w:rsidRPr="00441372" w:rsidRDefault="0003592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9A88581" w14:textId="77777777" w:rsidR="00EA4725" w:rsidRPr="00441372" w:rsidRDefault="00035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1167237" w14:textId="77777777" w:rsidR="00EA4725" w:rsidRPr="00441372" w:rsidRDefault="00035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94579" w14:paraId="5D695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040E1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5F59F" w14:textId="68973E41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regulations concerning the manufacture, placing on the market and import of fertilising products of organic origin and certain inorganic fertilising products (Fertilising Products Regulations)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  <w:r w:rsidR="00276D99">
              <w:t>6</w:t>
            </w:r>
          </w:p>
          <w:p w14:paraId="787C8E3B" w14:textId="77777777" w:rsidR="00EA4725" w:rsidRPr="00441372" w:rsidRDefault="00061910" w:rsidP="00441372">
            <w:pPr>
              <w:spacing w:after="120"/>
            </w:pPr>
            <w:hyperlink r:id="rId8" w:tgtFrame="_blank" w:history="1">
              <w:r w:rsidR="00E26A84" w:rsidRPr="00441372">
                <w:rPr>
                  <w:color w:val="0000FF"/>
                  <w:u w:val="single"/>
                </w:rPr>
                <w:t>https://members.wto.org/crnattachments/2024/SPS/NOR/24_05806_00_e.pdf</w:t>
              </w:r>
            </w:hyperlink>
          </w:p>
        </w:tc>
      </w:tr>
      <w:tr w:rsidR="00094579" w14:paraId="4AEE6D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4A52C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15CC2" w14:textId="2A906A0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Norwegian Food Safety Authority has proposed a new regulation concerning the production and marketing of fertili</w:t>
            </w:r>
            <w:r>
              <w:t>z</w:t>
            </w:r>
            <w:r w:rsidRPr="0065690F">
              <w:t>ing products. It provides rules for safe fertili</w:t>
            </w:r>
            <w:r>
              <w:t>z</w:t>
            </w:r>
            <w:r w:rsidRPr="0065690F">
              <w:t>er production and is adapted to changes that have taken place in the marked regarding increased interest in the use of waste and by-products in the production of fertili</w:t>
            </w:r>
            <w:r>
              <w:t>z</w:t>
            </w:r>
            <w:r w:rsidRPr="0065690F">
              <w:t>ers.</w:t>
            </w:r>
          </w:p>
          <w:p w14:paraId="65C034CC" w14:textId="77777777" w:rsidR="0051681D" w:rsidRPr="0065690F" w:rsidRDefault="00035922" w:rsidP="00E26A84">
            <w:pPr>
              <w:spacing w:before="120"/>
            </w:pPr>
            <w:r w:rsidRPr="0065690F">
              <w:t>The proposal introduces the following amendments:</w:t>
            </w:r>
          </w:p>
          <w:p w14:paraId="061CA14D" w14:textId="1AB4ECAC" w:rsidR="0051681D" w:rsidRPr="0065690F" w:rsidRDefault="00035922" w:rsidP="00E26A8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The requirements for </w:t>
            </w:r>
            <w:proofErr w:type="spellStart"/>
            <w:r w:rsidRPr="0065690F">
              <w:t>hygieni</w:t>
            </w:r>
            <w:r>
              <w:t>z</w:t>
            </w:r>
            <w:r w:rsidRPr="0065690F">
              <w:t>ation</w:t>
            </w:r>
            <w:proofErr w:type="spellEnd"/>
            <w:r w:rsidRPr="0065690F">
              <w:t xml:space="preserve"> and stabili</w:t>
            </w:r>
            <w:r>
              <w:t>z</w:t>
            </w:r>
            <w:r w:rsidRPr="0065690F">
              <w:t xml:space="preserve">ation are clarified, and the indicator organism thermotolerant coliform bacteria is changed to </w:t>
            </w:r>
            <w:r w:rsidRPr="008B1AD4">
              <w:rPr>
                <w:i/>
                <w:iCs/>
              </w:rPr>
              <w:t>E. coli</w:t>
            </w:r>
            <w:r>
              <w:t>;</w:t>
            </w:r>
          </w:p>
          <w:p w14:paraId="1364BD13" w14:textId="4484A222" w:rsidR="0051681D" w:rsidRPr="0065690F" w:rsidRDefault="00035922" w:rsidP="00E26A84">
            <w:pPr>
              <w:numPr>
                <w:ilvl w:val="0"/>
                <w:numId w:val="16"/>
              </w:numPr>
              <w:ind w:left="357" w:hanging="357"/>
            </w:pPr>
            <w:r w:rsidRPr="0065690F">
              <w:t>A limit value has been added for arsenic</w:t>
            </w:r>
            <w:r>
              <w:t>;</w:t>
            </w:r>
          </w:p>
          <w:p w14:paraId="1AB63AED" w14:textId="775B1A9C" w:rsidR="0051681D" w:rsidRPr="0065690F" w:rsidRDefault="00035922" w:rsidP="008B1AD4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table of raw materials and raw material categories that can be used in fertili</w:t>
            </w:r>
            <w:r>
              <w:t>z</w:t>
            </w:r>
            <w:r w:rsidRPr="0065690F">
              <w:t>er production has been updated (appendix 1) and a new system with applications for the use of other types of raw materials that are not listed in the table is being introduced</w:t>
            </w:r>
            <w:r w:rsidR="008B1AD4">
              <w:t>;</w:t>
            </w:r>
          </w:p>
          <w:p w14:paraId="6D06AEF1" w14:textId="21F5ABBB" w:rsidR="0051681D" w:rsidRPr="0065690F" w:rsidRDefault="00035922" w:rsidP="008B1AD4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registration obligation changes from a requirement for product registration to a requirement for business registration</w:t>
            </w:r>
            <w:r w:rsidR="008B1AD4">
              <w:t>;</w:t>
            </w:r>
          </w:p>
          <w:p w14:paraId="34723D80" w14:textId="0EC15702" w:rsidR="0051681D" w:rsidRPr="0065690F" w:rsidRDefault="00035922" w:rsidP="008B1AD4">
            <w:pPr>
              <w:numPr>
                <w:ilvl w:val="0"/>
                <w:numId w:val="16"/>
              </w:numPr>
              <w:ind w:left="357" w:hanging="357"/>
            </w:pPr>
            <w:r w:rsidRPr="0065690F">
              <w:t>Labelling requirements that earlier were included in a standard are now in the regulation</w:t>
            </w:r>
            <w:r w:rsidR="008B1AD4">
              <w:t>;</w:t>
            </w:r>
          </w:p>
          <w:p w14:paraId="1DAE2B59" w14:textId="0171999B" w:rsidR="0051681D" w:rsidRPr="0065690F" w:rsidRDefault="00035922" w:rsidP="008B1AD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Both organic and inorganic </w:t>
            </w:r>
            <w:proofErr w:type="spellStart"/>
            <w:r w:rsidRPr="0065690F">
              <w:t>biostimulants</w:t>
            </w:r>
            <w:proofErr w:type="spellEnd"/>
            <w:r w:rsidRPr="0065690F">
              <w:t xml:space="preserve"> are covered by the new regulation, and they are more clearly distinguished from pesticides</w:t>
            </w:r>
            <w:r w:rsidR="008B1AD4">
              <w:t>;</w:t>
            </w:r>
          </w:p>
          <w:p w14:paraId="3DC1B2A0" w14:textId="680F651D" w:rsidR="0051681D" w:rsidRPr="0065690F" w:rsidRDefault="00035922" w:rsidP="008B1AD4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There is a new paragraph concerning products traded under the agreement of mutual recognition in the EEA.</w:t>
            </w:r>
          </w:p>
        </w:tc>
      </w:tr>
      <w:tr w:rsidR="00094579" w14:paraId="44089E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C1A14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14A34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[X]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94579" w14:paraId="276F2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37D63" w14:textId="77777777" w:rsidR="00EA4725" w:rsidRPr="00441372" w:rsidRDefault="000359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E08B2" w14:textId="77777777" w:rsidR="00EA4725" w:rsidRPr="00441372" w:rsidRDefault="00035922" w:rsidP="006D11EB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5706451" w14:textId="77777777" w:rsidR="00EA4725" w:rsidRPr="00441372" w:rsidRDefault="00035922" w:rsidP="006D11EB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C52E1F" w14:textId="77777777" w:rsidR="00EA4725" w:rsidRPr="00441372" w:rsidRDefault="00035922" w:rsidP="006D11E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874C08" w14:textId="77777777" w:rsidR="00EA4725" w:rsidRPr="00441372" w:rsidRDefault="00035922" w:rsidP="006D11E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7C908B" w14:textId="77777777" w:rsidR="00EA4725" w:rsidRPr="00441372" w:rsidRDefault="00035922" w:rsidP="006D11EB">
            <w:pPr>
              <w:spacing w:before="240"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0C202D6" w14:textId="77777777" w:rsidR="00EA4725" w:rsidRPr="00441372" w:rsidRDefault="00035922" w:rsidP="006D11EB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DF37327" w14:textId="77777777" w:rsidR="00EA4725" w:rsidRPr="00441372" w:rsidRDefault="00035922" w:rsidP="006D11E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F958DD5" w14:textId="77777777" w:rsidR="00EA4725" w:rsidRPr="00441372" w:rsidRDefault="00035922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94579" w14:paraId="7951EE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EE6FE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1176F" w14:textId="77777777" w:rsidR="00E26A84" w:rsidRDefault="00035922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2708AC4" w14:textId="0C9805E0" w:rsidR="00EA4725" w:rsidRPr="00441372" w:rsidRDefault="00061910" w:rsidP="00E26A84">
            <w:pPr>
              <w:numPr>
                <w:ilvl w:val="0"/>
                <w:numId w:val="18"/>
              </w:numPr>
              <w:spacing w:before="120"/>
              <w:ind w:left="372"/>
            </w:pPr>
            <w:hyperlink r:id="rId9" w:history="1">
              <w:r w:rsidR="00E26A84" w:rsidRPr="0065690F">
                <w:rPr>
                  <w:color w:val="0000FF"/>
                  <w:u w:val="single"/>
                </w:rPr>
                <w:t>Regulations 4 July 2003 No. 951 on fertilisers etc. of organic origin</w:t>
              </w:r>
            </w:hyperlink>
            <w:r w:rsidR="00E26A84" w:rsidRPr="0065690F">
              <w:t xml:space="preserve"> </w:t>
            </w:r>
            <w:r w:rsidR="00E26A84">
              <w:t>(a</w:t>
            </w:r>
            <w:r w:rsidR="00E26A84" w:rsidRPr="0065690F">
              <w:t>vailable in Norwegian</w:t>
            </w:r>
            <w:r w:rsidR="00E26A84">
              <w:t>)</w:t>
            </w:r>
          </w:p>
          <w:p w14:paraId="62888201" w14:textId="319A9331" w:rsidR="0051681D" w:rsidRPr="0065690F" w:rsidRDefault="00035922" w:rsidP="00E26A84">
            <w:pPr>
              <w:numPr>
                <w:ilvl w:val="0"/>
                <w:numId w:val="18"/>
              </w:numPr>
              <w:ind w:left="372"/>
            </w:pPr>
            <w:r w:rsidRPr="0065690F">
              <w:t xml:space="preserve">Draft regulations on the storage and use of fertiliser etc. </w:t>
            </w:r>
            <w:r>
              <w:t>(a</w:t>
            </w:r>
            <w:r w:rsidRPr="0065690F">
              <w:t>vailable in Norwegian</w:t>
            </w:r>
            <w:r>
              <w:t>;</w:t>
            </w:r>
            <w:r w:rsidRPr="0065690F">
              <w:t xml:space="preserve"> Relevant sections available in English</w:t>
            </w:r>
            <w:r>
              <w:t>)</w:t>
            </w:r>
          </w:p>
          <w:p w14:paraId="015A1E88" w14:textId="796D99FD" w:rsidR="0051681D" w:rsidRPr="0065690F" w:rsidRDefault="00061910" w:rsidP="00E26A84">
            <w:pPr>
              <w:spacing w:after="120"/>
              <w:ind w:left="374"/>
            </w:pPr>
            <w:hyperlink r:id="rId10" w:history="1">
              <w:r w:rsidR="00E26A84" w:rsidRPr="00E64155">
                <w:rPr>
                  <w:rStyle w:val="Hyperlink"/>
                </w:rPr>
                <w:t>https://members.wto.org/crnattachments/2024/SPS/NOR/24_05806_01_e.pdf</w:t>
              </w:r>
            </w:hyperlink>
          </w:p>
        </w:tc>
      </w:tr>
      <w:tr w:rsidR="00094579" w14:paraId="14FFBD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9D7C2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71C71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January 2025</w:t>
            </w:r>
          </w:p>
          <w:p w14:paraId="721B1BA0" w14:textId="77777777" w:rsidR="00EA4725" w:rsidRPr="00441372" w:rsidRDefault="0003592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January 2025</w:t>
            </w:r>
          </w:p>
        </w:tc>
      </w:tr>
      <w:tr w:rsidR="00094579" w14:paraId="5CF18A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B0170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2FCC1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January 2025</w:t>
            </w:r>
          </w:p>
          <w:p w14:paraId="60775480" w14:textId="77777777" w:rsidR="00EA4725" w:rsidRPr="00441372" w:rsidRDefault="00035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94579" w14:paraId="5FC4D4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B19BC" w14:textId="77777777" w:rsidR="00EA4725" w:rsidRPr="00441372" w:rsidRDefault="00035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71C42" w14:textId="77777777" w:rsidR="00EA4725" w:rsidRPr="00441372" w:rsidRDefault="0003592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November 2024</w:t>
            </w:r>
          </w:p>
          <w:p w14:paraId="5D93FD72" w14:textId="77777777" w:rsidR="00EA4725" w:rsidRPr="00441372" w:rsidRDefault="0003592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16EE6B8" w14:textId="77777777" w:rsidR="0051681D" w:rsidRPr="0065690F" w:rsidRDefault="00035922" w:rsidP="00441372">
            <w:r w:rsidRPr="0065690F">
              <w:t>Norwegian Food Safety Authority</w:t>
            </w:r>
          </w:p>
          <w:p w14:paraId="6695CE53" w14:textId="77777777" w:rsidR="0051681D" w:rsidRPr="0065690F" w:rsidRDefault="00035922" w:rsidP="00441372">
            <w:r w:rsidRPr="0065690F">
              <w:t>P.O. Box 383</w:t>
            </w:r>
          </w:p>
          <w:p w14:paraId="1C1929CF" w14:textId="77777777" w:rsidR="0051681D" w:rsidRPr="0065690F" w:rsidRDefault="00035922" w:rsidP="00441372">
            <w:r w:rsidRPr="0065690F">
              <w:t xml:space="preserve">N-2381 </w:t>
            </w:r>
            <w:proofErr w:type="spellStart"/>
            <w:r w:rsidRPr="0065690F">
              <w:t>Brumunddal</w:t>
            </w:r>
            <w:proofErr w:type="spellEnd"/>
          </w:p>
          <w:p w14:paraId="0C65B402" w14:textId="77777777" w:rsidR="0051681D" w:rsidRPr="0065690F" w:rsidRDefault="00035922" w:rsidP="00441372">
            <w:r w:rsidRPr="0065690F">
              <w:t>Fax: +(47) 23 21 68 01</w:t>
            </w:r>
          </w:p>
          <w:p w14:paraId="34B760FB" w14:textId="77777777" w:rsidR="0051681D" w:rsidRPr="0065690F" w:rsidRDefault="00035922" w:rsidP="00441372"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postmottak@mattilsynet.no</w:t>
              </w:r>
            </w:hyperlink>
          </w:p>
          <w:p w14:paraId="7A10561F" w14:textId="77777777" w:rsidR="0051681D" w:rsidRPr="0065690F" w:rsidRDefault="00035922" w:rsidP="00441372">
            <w:pPr>
              <w:spacing w:after="120"/>
            </w:pPr>
            <w:r w:rsidRPr="0065690F">
              <w:t xml:space="preserve">Website: </w:t>
            </w:r>
            <w:hyperlink r:id="rId12" w:history="1">
              <w:r w:rsidRPr="0065690F">
                <w:rPr>
                  <w:color w:val="0000FF"/>
                  <w:u w:val="single"/>
                </w:rPr>
                <w:t>https://www.mattilsynet.no/en/plants</w:t>
              </w:r>
            </w:hyperlink>
          </w:p>
        </w:tc>
      </w:tr>
      <w:tr w:rsidR="00094579" w14:paraId="22F84A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15580D" w14:textId="77777777" w:rsidR="00EA4725" w:rsidRPr="00441372" w:rsidRDefault="00035922" w:rsidP="006D11EB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DF9C06" w14:textId="77777777" w:rsidR="00EA4725" w:rsidRPr="00441372" w:rsidRDefault="00035922" w:rsidP="006D11EB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B717FF3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>Ministry of Agriculture and Food</w:t>
            </w:r>
          </w:p>
          <w:p w14:paraId="2C466B17" w14:textId="77777777" w:rsidR="00EA4725" w:rsidRPr="0065690F" w:rsidRDefault="00035922" w:rsidP="006D11EB">
            <w:pPr>
              <w:rPr>
                <w:bCs/>
              </w:rPr>
            </w:pPr>
            <w:proofErr w:type="spellStart"/>
            <w:r w:rsidRPr="0065690F">
              <w:rPr>
                <w:bCs/>
              </w:rPr>
              <w:t>Att</w:t>
            </w:r>
            <w:proofErr w:type="spellEnd"/>
            <w:r w:rsidRPr="0065690F">
              <w:rPr>
                <w:bCs/>
              </w:rPr>
              <w:t>: WTO/SPS</w:t>
            </w:r>
          </w:p>
          <w:p w14:paraId="248714B8" w14:textId="77777777" w:rsidR="00EA4725" w:rsidRPr="0065690F" w:rsidRDefault="00035922" w:rsidP="006D11EB">
            <w:pPr>
              <w:rPr>
                <w:bCs/>
              </w:rPr>
            </w:pPr>
            <w:proofErr w:type="spellStart"/>
            <w:r w:rsidRPr="0065690F">
              <w:rPr>
                <w:bCs/>
              </w:rPr>
              <w:t>P.o</w:t>
            </w:r>
            <w:proofErr w:type="spellEnd"/>
            <w:r w:rsidRPr="0065690F">
              <w:rPr>
                <w:bCs/>
              </w:rPr>
              <w:t xml:space="preserve"> Box 8007 Dep.</w:t>
            </w:r>
          </w:p>
          <w:p w14:paraId="6D3295A2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>Oslo 0030</w:t>
            </w:r>
          </w:p>
          <w:p w14:paraId="48A349EF" w14:textId="194CCBD8" w:rsidR="00EA4725" w:rsidRPr="00276D99" w:rsidRDefault="00035922" w:rsidP="006D11EB">
            <w:pPr>
              <w:rPr>
                <w:bCs/>
              </w:rPr>
            </w:pPr>
            <w:r w:rsidRPr="00276D99">
              <w:rPr>
                <w:bCs/>
              </w:rPr>
              <w:t>Tel: +(47) 22 2490 90</w:t>
            </w:r>
          </w:p>
          <w:p w14:paraId="3B5826D3" w14:textId="5DDF346B" w:rsidR="00EA4725" w:rsidRPr="00276D99" w:rsidRDefault="00035922" w:rsidP="006D11EB">
            <w:pPr>
              <w:rPr>
                <w:bCs/>
              </w:rPr>
            </w:pPr>
            <w:r w:rsidRPr="00276D99">
              <w:rPr>
                <w:bCs/>
              </w:rPr>
              <w:t xml:space="preserve">E-mail: </w:t>
            </w:r>
            <w:hyperlink r:id="rId13" w:history="1">
              <w:r w:rsidRPr="00276D99">
                <w:rPr>
                  <w:bCs/>
                  <w:color w:val="0000FF"/>
                  <w:u w:val="single"/>
                </w:rPr>
                <w:t>postmottak@lmd.dep.no</w:t>
              </w:r>
            </w:hyperlink>
          </w:p>
          <w:p w14:paraId="3FD62DB1" w14:textId="77777777" w:rsidR="00EA4725" w:rsidRPr="00276D99" w:rsidRDefault="00035922" w:rsidP="006D11EB">
            <w:pPr>
              <w:spacing w:after="120"/>
              <w:rPr>
                <w:bCs/>
              </w:rPr>
            </w:pPr>
            <w:r w:rsidRPr="00276D99">
              <w:rPr>
                <w:bCs/>
              </w:rPr>
              <w:t xml:space="preserve">Website: </w:t>
            </w:r>
            <w:hyperlink r:id="rId14" w:history="1">
              <w:r w:rsidRPr="00276D99">
                <w:rPr>
                  <w:bCs/>
                  <w:color w:val="0000FF"/>
                  <w:u w:val="single"/>
                </w:rPr>
                <w:t>https://www.regjeringen.no/en/dep/lmd/id627/</w:t>
              </w:r>
            </w:hyperlink>
          </w:p>
          <w:p w14:paraId="201401FF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>Norwegian Food Safety Authority</w:t>
            </w:r>
          </w:p>
          <w:p w14:paraId="3A9D58F2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>P.O. Box 383</w:t>
            </w:r>
          </w:p>
          <w:p w14:paraId="416A166D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 xml:space="preserve">N-2381 </w:t>
            </w:r>
            <w:proofErr w:type="spellStart"/>
            <w:r w:rsidRPr="0065690F">
              <w:rPr>
                <w:bCs/>
              </w:rPr>
              <w:t>Brumunddal</w:t>
            </w:r>
            <w:proofErr w:type="spellEnd"/>
          </w:p>
          <w:p w14:paraId="1DEB3DA0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>Fax: +(47) 23 21 68 01</w:t>
            </w:r>
          </w:p>
          <w:p w14:paraId="64A7D76C" w14:textId="77777777" w:rsidR="00EA4725" w:rsidRPr="0065690F" w:rsidRDefault="00035922" w:rsidP="006D11EB">
            <w:pPr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5" w:history="1">
              <w:r w:rsidRPr="0065690F">
                <w:rPr>
                  <w:bCs/>
                  <w:color w:val="0000FF"/>
                  <w:u w:val="single"/>
                </w:rPr>
                <w:t>postmottak@mattilsynet.no</w:t>
              </w:r>
            </w:hyperlink>
          </w:p>
          <w:p w14:paraId="16004233" w14:textId="77777777" w:rsidR="00EA4725" w:rsidRPr="0065690F" w:rsidRDefault="00035922" w:rsidP="006D11EB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6" w:history="1">
              <w:r w:rsidRPr="0065690F">
                <w:rPr>
                  <w:bCs/>
                  <w:color w:val="0000FF"/>
                  <w:u w:val="single"/>
                </w:rPr>
                <w:t>https://www.mattilsynet.no/en/plants</w:t>
              </w:r>
            </w:hyperlink>
          </w:p>
        </w:tc>
      </w:tr>
    </w:tbl>
    <w:p w14:paraId="2A522ED7" w14:textId="77777777" w:rsidR="007141CF" w:rsidRPr="006D11EB" w:rsidRDefault="007141CF" w:rsidP="00441372">
      <w:pPr>
        <w:rPr>
          <w:sz w:val="2"/>
          <w:szCs w:val="2"/>
        </w:rPr>
      </w:pPr>
    </w:p>
    <w:sectPr w:rsidR="007141CF" w:rsidRPr="006D11EB" w:rsidSect="00E26A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937D" w14:textId="77777777" w:rsidR="00035922" w:rsidRDefault="00035922">
      <w:r>
        <w:separator/>
      </w:r>
    </w:p>
  </w:endnote>
  <w:endnote w:type="continuationSeparator" w:id="0">
    <w:p w14:paraId="72993ABA" w14:textId="77777777" w:rsidR="00035922" w:rsidRDefault="000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8B6B" w14:textId="33E53057" w:rsidR="00EA4725" w:rsidRPr="00E26A84" w:rsidRDefault="00035922" w:rsidP="00E26A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8AC3" w14:textId="48B35CFF" w:rsidR="00EA4725" w:rsidRPr="00E26A84" w:rsidRDefault="00035922" w:rsidP="00E26A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726E" w14:textId="77777777" w:rsidR="00C863EB" w:rsidRPr="00441372" w:rsidRDefault="000359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0447" w14:textId="77777777" w:rsidR="00035922" w:rsidRDefault="00035922">
      <w:r>
        <w:separator/>
      </w:r>
    </w:p>
  </w:footnote>
  <w:footnote w:type="continuationSeparator" w:id="0">
    <w:p w14:paraId="3C9BE254" w14:textId="77777777" w:rsidR="00035922" w:rsidRDefault="0003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831" w14:textId="77777777" w:rsidR="00E26A84" w:rsidRPr="00E26A84" w:rsidRDefault="00035922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84">
      <w:t>G/SPS/N/NOR/40</w:t>
    </w:r>
  </w:p>
  <w:p w14:paraId="527DE386" w14:textId="77777777" w:rsidR="00E26A84" w:rsidRPr="00E26A84" w:rsidRDefault="00E26A84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DC6078" w14:textId="28F4CD8A" w:rsidR="00E26A84" w:rsidRPr="00E26A84" w:rsidRDefault="00035922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84">
      <w:t xml:space="preserve">- </w:t>
    </w:r>
    <w:r w:rsidRPr="00E26A84">
      <w:fldChar w:fldCharType="begin"/>
    </w:r>
    <w:r w:rsidRPr="00E26A84">
      <w:instrText xml:space="preserve"> PAGE </w:instrText>
    </w:r>
    <w:r w:rsidRPr="00E26A84">
      <w:fldChar w:fldCharType="separate"/>
    </w:r>
    <w:r w:rsidRPr="00E26A84">
      <w:rPr>
        <w:noProof/>
      </w:rPr>
      <w:t>2</w:t>
    </w:r>
    <w:r w:rsidRPr="00E26A84">
      <w:fldChar w:fldCharType="end"/>
    </w:r>
    <w:r w:rsidRPr="00E26A84">
      <w:t xml:space="preserve"> -</w:t>
    </w:r>
  </w:p>
  <w:p w14:paraId="22D00119" w14:textId="46E3BD27" w:rsidR="00EA4725" w:rsidRPr="00E26A84" w:rsidRDefault="00EA4725" w:rsidP="00E26A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C93A" w14:textId="77777777" w:rsidR="00E26A84" w:rsidRPr="00E26A84" w:rsidRDefault="00035922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84">
      <w:t>G/SPS/N/NOR/40</w:t>
    </w:r>
  </w:p>
  <w:p w14:paraId="04B8F6E1" w14:textId="77777777" w:rsidR="00E26A84" w:rsidRPr="00E26A84" w:rsidRDefault="00E26A84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2E9C4" w14:textId="022C9E13" w:rsidR="00E26A84" w:rsidRPr="00E26A84" w:rsidRDefault="00035922" w:rsidP="00E26A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84">
      <w:t xml:space="preserve">- </w:t>
    </w:r>
    <w:r w:rsidRPr="00E26A84">
      <w:fldChar w:fldCharType="begin"/>
    </w:r>
    <w:r w:rsidRPr="00E26A84">
      <w:instrText xml:space="preserve"> PAGE </w:instrText>
    </w:r>
    <w:r w:rsidRPr="00E26A84">
      <w:fldChar w:fldCharType="separate"/>
    </w:r>
    <w:r w:rsidRPr="00E26A84">
      <w:rPr>
        <w:noProof/>
      </w:rPr>
      <w:t>2</w:t>
    </w:r>
    <w:r w:rsidRPr="00E26A84">
      <w:fldChar w:fldCharType="end"/>
    </w:r>
    <w:r w:rsidRPr="00E26A84">
      <w:t xml:space="preserve"> -</w:t>
    </w:r>
  </w:p>
  <w:p w14:paraId="6353B164" w14:textId="7A7C4368" w:rsidR="00EA4725" w:rsidRPr="00E26A84" w:rsidRDefault="00EA4725" w:rsidP="00E26A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4579" w14:paraId="78D503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F26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3B935" w14:textId="07D94E4A" w:rsidR="00ED54E0" w:rsidRPr="00EA4725" w:rsidRDefault="000359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94579" w14:paraId="522343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E46538" w14:textId="77777777" w:rsidR="00ED54E0" w:rsidRPr="00EA4725" w:rsidRDefault="00061910" w:rsidP="00422B6F">
          <w:pPr>
            <w:jc w:val="left"/>
          </w:pPr>
          <w:r>
            <w:rPr>
              <w:lang w:eastAsia="en-GB"/>
            </w:rPr>
            <w:pict w14:anchorId="1BA323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0BE3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94579" w14:paraId="2DB0221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F184D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E04FF8" w14:textId="77777777" w:rsidR="00E26A84" w:rsidRDefault="0003592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G/SPS/N/NOR/40</w:t>
          </w:r>
          <w:bookmarkEnd w:id="1"/>
        </w:p>
      </w:tc>
    </w:tr>
    <w:tr w:rsidR="00094579" w14:paraId="7EA3A4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97B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2AD00" w14:textId="77777777" w:rsidR="00ED54E0" w:rsidRPr="00EA4725" w:rsidRDefault="0003592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September 2024</w:t>
          </w:r>
          <w:bookmarkEnd w:id="3"/>
        </w:p>
      </w:tc>
    </w:tr>
    <w:tr w:rsidR="00094579" w14:paraId="2E77EA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30CDD" w14:textId="373E858F" w:rsidR="00ED54E0" w:rsidRPr="00EA4725" w:rsidRDefault="0003592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061910">
            <w:rPr>
              <w:color w:val="FF0000"/>
              <w:szCs w:val="16"/>
            </w:rPr>
            <w:t>6153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173E5" w14:textId="77777777" w:rsidR="00ED54E0" w:rsidRPr="00EA4725" w:rsidRDefault="0003592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94579" w14:paraId="0317914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6A9BA4" w14:textId="337D759B" w:rsidR="00ED54E0" w:rsidRPr="00EA4725" w:rsidRDefault="0003592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E1B633" w14:textId="06A6E74E" w:rsidR="00ED54E0" w:rsidRPr="00441372" w:rsidRDefault="0003592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A2D26F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E7A8B"/>
    <w:multiLevelType w:val="hybridMultilevel"/>
    <w:tmpl w:val="D6CAB7B6"/>
    <w:lvl w:ilvl="0" w:tplc="DFE023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DB6A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EE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0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CD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84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1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4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A200F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8265D8" w:tentative="1">
      <w:start w:val="1"/>
      <w:numFmt w:val="lowerLetter"/>
      <w:lvlText w:val="%2."/>
      <w:lvlJc w:val="left"/>
      <w:pPr>
        <w:ind w:left="1080" w:hanging="360"/>
      </w:pPr>
    </w:lvl>
    <w:lvl w:ilvl="2" w:tplc="6688D94C" w:tentative="1">
      <w:start w:val="1"/>
      <w:numFmt w:val="lowerRoman"/>
      <w:lvlText w:val="%3."/>
      <w:lvlJc w:val="right"/>
      <w:pPr>
        <w:ind w:left="1800" w:hanging="180"/>
      </w:pPr>
    </w:lvl>
    <w:lvl w:ilvl="3" w:tplc="FC84EDC6" w:tentative="1">
      <w:start w:val="1"/>
      <w:numFmt w:val="decimal"/>
      <w:lvlText w:val="%4."/>
      <w:lvlJc w:val="left"/>
      <w:pPr>
        <w:ind w:left="2520" w:hanging="360"/>
      </w:pPr>
    </w:lvl>
    <w:lvl w:ilvl="4" w:tplc="443C03AE" w:tentative="1">
      <w:start w:val="1"/>
      <w:numFmt w:val="lowerLetter"/>
      <w:lvlText w:val="%5."/>
      <w:lvlJc w:val="left"/>
      <w:pPr>
        <w:ind w:left="3240" w:hanging="360"/>
      </w:pPr>
    </w:lvl>
    <w:lvl w:ilvl="5" w:tplc="A6466CE8" w:tentative="1">
      <w:start w:val="1"/>
      <w:numFmt w:val="lowerRoman"/>
      <w:lvlText w:val="%6."/>
      <w:lvlJc w:val="right"/>
      <w:pPr>
        <w:ind w:left="3960" w:hanging="180"/>
      </w:pPr>
    </w:lvl>
    <w:lvl w:ilvl="6" w:tplc="5F603E92" w:tentative="1">
      <w:start w:val="1"/>
      <w:numFmt w:val="decimal"/>
      <w:lvlText w:val="%7."/>
      <w:lvlJc w:val="left"/>
      <w:pPr>
        <w:ind w:left="4680" w:hanging="360"/>
      </w:pPr>
    </w:lvl>
    <w:lvl w:ilvl="7" w:tplc="C658CF16" w:tentative="1">
      <w:start w:val="1"/>
      <w:numFmt w:val="lowerLetter"/>
      <w:lvlText w:val="%8."/>
      <w:lvlJc w:val="left"/>
      <w:pPr>
        <w:ind w:left="5400" w:hanging="360"/>
      </w:pPr>
    </w:lvl>
    <w:lvl w:ilvl="8" w:tplc="3738BE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34061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0C6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8A2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1AC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D81C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1C0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3EE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45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50A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C"/>
    <w:multiLevelType w:val="hybridMultilevel"/>
    <w:tmpl w:val="63D526BC"/>
    <w:lvl w:ilvl="0" w:tplc="B3B22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CCC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963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06F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EC0D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468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A7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64E9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6D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72247166">
    <w:abstractNumId w:val="9"/>
  </w:num>
  <w:num w:numId="2" w16cid:durableId="340204114">
    <w:abstractNumId w:val="7"/>
  </w:num>
  <w:num w:numId="3" w16cid:durableId="1425036178">
    <w:abstractNumId w:val="6"/>
  </w:num>
  <w:num w:numId="4" w16cid:durableId="925575566">
    <w:abstractNumId w:val="5"/>
  </w:num>
  <w:num w:numId="5" w16cid:durableId="1603997678">
    <w:abstractNumId w:val="4"/>
  </w:num>
  <w:num w:numId="6" w16cid:durableId="1868906252">
    <w:abstractNumId w:val="13"/>
  </w:num>
  <w:num w:numId="7" w16cid:durableId="467668244">
    <w:abstractNumId w:val="12"/>
  </w:num>
  <w:num w:numId="8" w16cid:durableId="2631468">
    <w:abstractNumId w:val="11"/>
  </w:num>
  <w:num w:numId="9" w16cid:durableId="951982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445011">
    <w:abstractNumId w:val="14"/>
  </w:num>
  <w:num w:numId="11" w16cid:durableId="1939947385">
    <w:abstractNumId w:val="8"/>
  </w:num>
  <w:num w:numId="12" w16cid:durableId="1971397022">
    <w:abstractNumId w:val="3"/>
  </w:num>
  <w:num w:numId="13" w16cid:durableId="1136608585">
    <w:abstractNumId w:val="2"/>
  </w:num>
  <w:num w:numId="14" w16cid:durableId="1936476193">
    <w:abstractNumId w:val="1"/>
  </w:num>
  <w:num w:numId="15" w16cid:durableId="1875075031">
    <w:abstractNumId w:val="0"/>
  </w:num>
  <w:num w:numId="16" w16cid:durableId="1884250198">
    <w:abstractNumId w:val="15"/>
  </w:num>
  <w:num w:numId="17" w16cid:durableId="1646162578">
    <w:abstractNumId w:val="16"/>
  </w:num>
  <w:num w:numId="18" w16cid:durableId="27341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5922"/>
    <w:rsid w:val="00037AC4"/>
    <w:rsid w:val="000423BF"/>
    <w:rsid w:val="00061910"/>
    <w:rsid w:val="00084B3C"/>
    <w:rsid w:val="00092985"/>
    <w:rsid w:val="00094579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76D9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681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1EB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1AD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6A84"/>
    <w:rsid w:val="00E46FD5"/>
    <w:rsid w:val="00E544BB"/>
    <w:rsid w:val="00E56545"/>
    <w:rsid w:val="00E64155"/>
    <w:rsid w:val="00E64A48"/>
    <w:rsid w:val="00E842A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9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E26A84"/>
    <w:rPr>
      <w:rFonts w:ascii="Verdana" w:hAnsi="Verdana"/>
      <w:sz w:val="18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E2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NOR/24_05806_00_e.pdf" TargetMode="External"/><Relationship Id="rId13" Type="http://schemas.openxmlformats.org/officeDocument/2006/relationships/hyperlink" Target="mailto:postmottak@lmd.dep.n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attilsynet.no/en/plan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attilsynet.no/en/pla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mottak@mattilsynet.n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stmottak@mattilsynet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4/SPS/NOR/24_05806_01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SF/forskrift/2003-07-04-951?q=forskrift%20om%20gj%C3%B8dsel" TargetMode="External"/><Relationship Id="rId14" Type="http://schemas.openxmlformats.org/officeDocument/2006/relationships/hyperlink" Target="https://www.regjeringen.no/en/dep/lmd/id627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ba2fef9d-a4ea-4499-941e-3429405dc441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40F142E-B1E5-418A-8496-81D9BEF1B1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743</Words>
  <Characters>4445</Characters>
  <Application>Microsoft Office Word</Application>
  <DocSecurity>0</DocSecurity>
  <Lines>113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2024-09-04T10:30:00Z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G/SPS/N/NOR/40</vt:lpwstr>
  </property>
  <property fmtid="{D5CDD505-2E9C-101B-9397-08002B2CF9AE}" pid="3" name="TitusGUID">
    <vt:lpwstr>ba2fef9d-a4ea-4499-941e-3429405dc441</vt:lpwstr>
  </property>
  <property fmtid="{D5CDD505-2E9C-101B-9397-08002B2CF9AE}" pid="4" name="WTOCLASSIFICATION">
    <vt:lpwstr>WTO OFFICIAL</vt:lpwstr>
  </property>
</Properties>
</file>