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A88" w14:textId="77777777" w:rsidR="00326D34" w:rsidRPr="004D1783" w:rsidRDefault="00F6785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3DAD" w14:paraId="2609530D" w14:textId="77777777" w:rsidTr="00B056CB">
        <w:tc>
          <w:tcPr>
            <w:tcW w:w="707" w:type="dxa"/>
            <w:tcBorders>
              <w:bottom w:val="single" w:sz="6" w:space="0" w:color="auto"/>
            </w:tcBorders>
            <w:shd w:val="clear" w:color="auto" w:fill="auto"/>
          </w:tcPr>
          <w:p w14:paraId="3038DDF5" w14:textId="77777777" w:rsidR="00326D34" w:rsidRPr="004D1783" w:rsidRDefault="00F67853" w:rsidP="004D1783">
            <w:pPr>
              <w:spacing w:before="120" w:after="120"/>
            </w:pPr>
            <w:r w:rsidRPr="004D1783">
              <w:rPr>
                <w:b/>
              </w:rPr>
              <w:t>1.</w:t>
            </w:r>
          </w:p>
        </w:tc>
        <w:tc>
          <w:tcPr>
            <w:tcW w:w="8320" w:type="dxa"/>
            <w:tcBorders>
              <w:bottom w:val="single" w:sz="6" w:space="0" w:color="auto"/>
            </w:tcBorders>
            <w:shd w:val="clear" w:color="auto" w:fill="auto"/>
          </w:tcPr>
          <w:p w14:paraId="10A7BEB9" w14:textId="77777777" w:rsidR="00326D34" w:rsidRPr="004D1783" w:rsidRDefault="00F6785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KINGDOM</w:t>
            </w:r>
            <w:bookmarkEnd w:id="0"/>
          </w:p>
          <w:p w14:paraId="0E4C73F6" w14:textId="77777777" w:rsidR="00326D34" w:rsidRPr="004D1783" w:rsidRDefault="00F67853" w:rsidP="004D1783">
            <w:pPr>
              <w:spacing w:after="120"/>
            </w:pPr>
            <w:r w:rsidRPr="004D1783">
              <w:rPr>
                <w:b/>
              </w:rPr>
              <w:t>If applicable, name of local government involved:</w:t>
            </w:r>
            <w:r w:rsidRPr="00F778D1">
              <w:t xml:space="preserve"> </w:t>
            </w:r>
            <w:bookmarkStart w:id="1" w:name="sps1b"/>
            <w:bookmarkEnd w:id="1"/>
          </w:p>
        </w:tc>
      </w:tr>
      <w:tr w:rsidR="003B3DAD" w14:paraId="14F0A5D8" w14:textId="77777777" w:rsidTr="00B056CB">
        <w:tc>
          <w:tcPr>
            <w:tcW w:w="707" w:type="dxa"/>
            <w:tcBorders>
              <w:top w:val="single" w:sz="6" w:space="0" w:color="auto"/>
              <w:bottom w:val="single" w:sz="6" w:space="0" w:color="auto"/>
            </w:tcBorders>
            <w:shd w:val="clear" w:color="auto" w:fill="auto"/>
          </w:tcPr>
          <w:p w14:paraId="4EC3D36B" w14:textId="77777777" w:rsidR="00326D34" w:rsidRPr="004D1783" w:rsidRDefault="00F6785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9928477" w14:textId="77777777" w:rsidR="00326D34" w:rsidRPr="004D1783" w:rsidRDefault="00F67853" w:rsidP="004D1783">
            <w:pPr>
              <w:spacing w:before="120" w:after="120"/>
            </w:pPr>
            <w:r w:rsidRPr="004D1783">
              <w:rPr>
                <w:b/>
              </w:rPr>
              <w:t>Agency responsible:</w:t>
            </w:r>
            <w:r w:rsidRPr="004D1783">
              <w:t xml:space="preserve"> </w:t>
            </w:r>
            <w:bookmarkStart w:id="2" w:name="sps2a"/>
            <w:r w:rsidRPr="004D1783">
              <w:t>Department for Environment, Food and Rural Affairs</w:t>
            </w:r>
            <w:bookmarkEnd w:id="2"/>
          </w:p>
        </w:tc>
      </w:tr>
      <w:tr w:rsidR="003B3DAD" w14:paraId="7824129A" w14:textId="77777777" w:rsidTr="00B056CB">
        <w:tc>
          <w:tcPr>
            <w:tcW w:w="707" w:type="dxa"/>
            <w:tcBorders>
              <w:top w:val="single" w:sz="6" w:space="0" w:color="auto"/>
              <w:bottom w:val="single" w:sz="6" w:space="0" w:color="auto"/>
            </w:tcBorders>
            <w:shd w:val="clear" w:color="auto" w:fill="auto"/>
          </w:tcPr>
          <w:p w14:paraId="6F17166C" w14:textId="77777777" w:rsidR="00326D34" w:rsidRPr="004D1783" w:rsidRDefault="00F6785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3C42DF6" w14:textId="77777777" w:rsidR="00326D34" w:rsidRPr="004D1783" w:rsidRDefault="00F6785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All plants other than seeds (HS code: 06)</w:t>
            </w:r>
            <w:bookmarkEnd w:id="3"/>
          </w:p>
        </w:tc>
      </w:tr>
      <w:tr w:rsidR="003B3DAD" w14:paraId="1F0CDF7C" w14:textId="77777777" w:rsidTr="00B056CB">
        <w:tc>
          <w:tcPr>
            <w:tcW w:w="707" w:type="dxa"/>
            <w:tcBorders>
              <w:top w:val="single" w:sz="6" w:space="0" w:color="auto"/>
              <w:bottom w:val="single" w:sz="6" w:space="0" w:color="auto"/>
            </w:tcBorders>
            <w:shd w:val="clear" w:color="auto" w:fill="auto"/>
          </w:tcPr>
          <w:p w14:paraId="1AEA8ECA" w14:textId="77777777" w:rsidR="00326D34" w:rsidRPr="004D1783" w:rsidRDefault="00F6785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374A424" w14:textId="77777777" w:rsidR="00326D34" w:rsidRPr="004D1783" w:rsidRDefault="00F67853" w:rsidP="004D1783">
            <w:pPr>
              <w:spacing w:before="120" w:after="120"/>
              <w:rPr>
                <w:b/>
                <w:bCs/>
              </w:rPr>
            </w:pPr>
            <w:r w:rsidRPr="004D1783">
              <w:rPr>
                <w:b/>
              </w:rPr>
              <w:t>Regions or countries likely to be affected, to the extent relevant or practicable</w:t>
            </w:r>
            <w:r w:rsidRPr="004D1783">
              <w:rPr>
                <w:b/>
                <w:bCs/>
              </w:rPr>
              <w:t>:</w:t>
            </w:r>
          </w:p>
          <w:p w14:paraId="1CC9BADE" w14:textId="77777777" w:rsidR="00326D34" w:rsidRPr="004D1783" w:rsidRDefault="00F67853"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02129C90" w14:textId="77777777" w:rsidR="00326D34" w:rsidRPr="004D1783" w:rsidRDefault="00F67853" w:rsidP="004D1783">
            <w:pPr>
              <w:spacing w:after="120"/>
              <w:ind w:left="607" w:hanging="607"/>
              <w:rPr>
                <w:b/>
              </w:rPr>
            </w:pPr>
            <w:proofErr w:type="gramStart"/>
            <w:r w:rsidRPr="004D1783">
              <w:rPr>
                <w:b/>
                <w:bCs/>
              </w:rPr>
              <w:t>[</w:t>
            </w:r>
            <w:bookmarkStart w:id="6" w:name="sps4abis"/>
            <w:r w:rsidRPr="004D1783">
              <w:rPr>
                <w:b/>
                <w:bCs/>
              </w:rPr>
              <w:t> </w:t>
            </w:r>
            <w:bookmarkEnd w:id="6"/>
            <w:r w:rsidRPr="004D1783">
              <w:rPr>
                <w:b/>
                <w:bCs/>
              </w:rPr>
              <w:t>]</w:t>
            </w:r>
            <w:proofErr w:type="gramEnd"/>
            <w:r w:rsidRPr="004D1783">
              <w:rPr>
                <w:b/>
                <w:bCs/>
              </w:rPr>
              <w:tab/>
              <w:t>Specific regions or countries:</w:t>
            </w:r>
            <w:r w:rsidRPr="00C902EF">
              <w:rPr>
                <w:bCs/>
              </w:rPr>
              <w:t xml:space="preserve"> </w:t>
            </w:r>
            <w:bookmarkStart w:id="7" w:name="sps4a"/>
            <w:bookmarkEnd w:id="7"/>
          </w:p>
        </w:tc>
      </w:tr>
      <w:tr w:rsidR="003B3DAD" w14:paraId="386A9C0C" w14:textId="77777777" w:rsidTr="00B056CB">
        <w:tc>
          <w:tcPr>
            <w:tcW w:w="707" w:type="dxa"/>
            <w:tcBorders>
              <w:top w:val="single" w:sz="6" w:space="0" w:color="auto"/>
              <w:bottom w:val="single" w:sz="6" w:space="0" w:color="auto"/>
            </w:tcBorders>
            <w:shd w:val="clear" w:color="auto" w:fill="auto"/>
          </w:tcPr>
          <w:p w14:paraId="4BE6611B" w14:textId="77777777" w:rsidR="00326D34" w:rsidRPr="004D1783" w:rsidRDefault="00F6785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028171B" w14:textId="77777777" w:rsidR="00326D34" w:rsidRPr="004D1783" w:rsidRDefault="00F67853" w:rsidP="004D1783">
            <w:pPr>
              <w:spacing w:before="120" w:after="120"/>
            </w:pPr>
            <w:r w:rsidRPr="004D1783">
              <w:rPr>
                <w:b/>
              </w:rPr>
              <w:t>Title of the notified document:</w:t>
            </w:r>
            <w:r w:rsidRPr="008F3F4B">
              <w:t xml:space="preserve"> </w:t>
            </w:r>
            <w:bookmarkStart w:id="8" w:name="sps5a"/>
            <w:r w:rsidRPr="008F3F4B">
              <w:t>The Phytosanitary Conditions (Amendment) (No. 2) Regulations 2022</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7D0B5FE4" w14:textId="77777777" w:rsidR="00326D34" w:rsidRPr="004D1783" w:rsidRDefault="00F67853" w:rsidP="004D1783">
            <w:pPr>
              <w:spacing w:after="120"/>
            </w:pPr>
            <w:r>
              <w:fldChar w:fldCharType="begin"/>
            </w:r>
            <w:r>
              <w:instrText xml:space="preserve"> HYPERLINK "https://members.wto.org/crnattachments/2022/SPS/GBR/22_3095_00_e.pdf" \t "_blank" </w:instrText>
            </w:r>
            <w:r>
              <w:fldChar w:fldCharType="separate"/>
            </w:r>
            <w:r w:rsidRPr="004D1783">
              <w:rPr>
                <w:color w:val="0000FF"/>
                <w:u w:val="single"/>
              </w:rPr>
              <w:t>https://members.wto.org/crnattachments/2022/SPS/GBR/22_3095_00_e.pdf</w:t>
            </w:r>
            <w:r>
              <w:rPr>
                <w:color w:val="0000FF"/>
                <w:u w:val="single"/>
              </w:rPr>
              <w:fldChar w:fldCharType="end"/>
            </w:r>
            <w:bookmarkEnd w:id="11"/>
          </w:p>
        </w:tc>
      </w:tr>
      <w:tr w:rsidR="003B3DAD" w14:paraId="08C3839C" w14:textId="77777777" w:rsidTr="00B056CB">
        <w:tc>
          <w:tcPr>
            <w:tcW w:w="707" w:type="dxa"/>
            <w:tcBorders>
              <w:top w:val="single" w:sz="6" w:space="0" w:color="auto"/>
              <w:bottom w:val="single" w:sz="6" w:space="0" w:color="auto"/>
            </w:tcBorders>
            <w:shd w:val="clear" w:color="auto" w:fill="auto"/>
          </w:tcPr>
          <w:p w14:paraId="6CF159B0" w14:textId="77777777" w:rsidR="00326D34" w:rsidRPr="004D1783" w:rsidRDefault="00F6785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20AB345" w14:textId="2558067E" w:rsidR="00326D34" w:rsidRPr="004D1783" w:rsidRDefault="00F67853" w:rsidP="004D1783">
            <w:pPr>
              <w:spacing w:before="120" w:after="120"/>
            </w:pPr>
            <w:r w:rsidRPr="004D1783">
              <w:rPr>
                <w:b/>
              </w:rPr>
              <w:t>Description of content:</w:t>
            </w:r>
            <w:r w:rsidRPr="00097200">
              <w:t xml:space="preserve"> </w:t>
            </w:r>
            <w:bookmarkStart w:id="12" w:name="sps6a"/>
            <w:r w:rsidRPr="00097200">
              <w:t xml:space="preserve">The Phytosanitary Conditions (Amendment) (No. 2) Regulations 2022 amend Annex </w:t>
            </w:r>
            <w:proofErr w:type="gramStart"/>
            <w:r w:rsidRPr="00097200">
              <w:t>7 part</w:t>
            </w:r>
            <w:proofErr w:type="gramEnd"/>
            <w:r w:rsidRPr="00097200">
              <w:t xml:space="preserve"> A entry 57 of retained Commission Implementing Regulation</w:t>
            </w:r>
            <w:r>
              <w:t> </w:t>
            </w:r>
            <w:r w:rsidRPr="00097200">
              <w:t xml:space="preserve">2019/2072, to enhance import requirements to prevent the introduction of the plant pest </w:t>
            </w:r>
            <w:proofErr w:type="spellStart"/>
            <w:r w:rsidRPr="00097200">
              <w:rPr>
                <w:i/>
                <w:iCs/>
              </w:rPr>
              <w:t>Thaumetopoea</w:t>
            </w:r>
            <w:proofErr w:type="spellEnd"/>
            <w:r w:rsidRPr="00097200">
              <w:rPr>
                <w:i/>
                <w:iCs/>
              </w:rPr>
              <w:t xml:space="preserve"> </w:t>
            </w:r>
            <w:proofErr w:type="spellStart"/>
            <w:r w:rsidRPr="00097200">
              <w:rPr>
                <w:i/>
                <w:iCs/>
              </w:rPr>
              <w:t>pityocampa</w:t>
            </w:r>
            <w:proofErr w:type="spellEnd"/>
            <w:r w:rsidRPr="00097200">
              <w:rPr>
                <w:i/>
                <w:iCs/>
              </w:rPr>
              <w:t xml:space="preserve"> </w:t>
            </w:r>
            <w:r w:rsidRPr="00097200">
              <w:t>(pine processionary moth) in Great Britain.</w:t>
            </w:r>
          </w:p>
          <w:p w14:paraId="6F8C1B21" w14:textId="77777777" w:rsidR="003B3DAD" w:rsidRPr="00097200" w:rsidRDefault="00F67853" w:rsidP="00B22B50">
            <w:pPr>
              <w:spacing w:before="120"/>
            </w:pPr>
            <w:r w:rsidRPr="00097200">
              <w:t>This regulation makes two changes:</w:t>
            </w:r>
          </w:p>
          <w:p w14:paraId="6CF9C29D" w14:textId="77777777" w:rsidR="003B3DAD" w:rsidRPr="00097200" w:rsidRDefault="00F67853" w:rsidP="00B22B50">
            <w:pPr>
              <w:numPr>
                <w:ilvl w:val="0"/>
                <w:numId w:val="17"/>
              </w:numPr>
              <w:ind w:left="368" w:hanging="357"/>
            </w:pPr>
            <w:r w:rsidRPr="00097200">
              <w:t xml:space="preserve">Amends the import requirements for </w:t>
            </w:r>
            <w:proofErr w:type="spellStart"/>
            <w:r w:rsidRPr="00097200">
              <w:rPr>
                <w:i/>
                <w:iCs/>
              </w:rPr>
              <w:t>Thaumetopoea</w:t>
            </w:r>
            <w:proofErr w:type="spellEnd"/>
            <w:r w:rsidRPr="00097200">
              <w:rPr>
                <w:i/>
                <w:iCs/>
              </w:rPr>
              <w:t xml:space="preserve"> </w:t>
            </w:r>
            <w:proofErr w:type="spellStart"/>
            <w:r w:rsidRPr="00097200">
              <w:rPr>
                <w:i/>
                <w:iCs/>
              </w:rPr>
              <w:t>pityocampa</w:t>
            </w:r>
            <w:proofErr w:type="spellEnd"/>
            <w:r w:rsidRPr="00097200">
              <w:t xml:space="preserve"> pest host species </w:t>
            </w:r>
            <w:proofErr w:type="spellStart"/>
            <w:r w:rsidRPr="00097200">
              <w:rPr>
                <w:i/>
                <w:iCs/>
              </w:rPr>
              <w:t>Cedrus</w:t>
            </w:r>
            <w:proofErr w:type="spellEnd"/>
            <w:r w:rsidRPr="00097200">
              <w:rPr>
                <w:i/>
                <w:iCs/>
              </w:rPr>
              <w:t xml:space="preserve"> </w:t>
            </w:r>
            <w:proofErr w:type="spellStart"/>
            <w:r w:rsidRPr="00097200">
              <w:t>Trew</w:t>
            </w:r>
            <w:proofErr w:type="spellEnd"/>
            <w:r w:rsidRPr="00097200">
              <w:t xml:space="preserve"> and </w:t>
            </w:r>
            <w:r w:rsidRPr="00097200">
              <w:rPr>
                <w:i/>
                <w:iCs/>
              </w:rPr>
              <w:t xml:space="preserve">Pinus </w:t>
            </w:r>
            <w:r w:rsidRPr="00097200">
              <w:t xml:space="preserve">L removing the special requirement option of an official statement that the plants have been produced in nurseries which, along with their vicinity, have been found free from </w:t>
            </w:r>
            <w:proofErr w:type="spellStart"/>
            <w:r w:rsidRPr="00097200">
              <w:rPr>
                <w:i/>
                <w:iCs/>
              </w:rPr>
              <w:t>Thaumetopoea</w:t>
            </w:r>
            <w:proofErr w:type="spellEnd"/>
            <w:r w:rsidRPr="00097200">
              <w:rPr>
                <w:i/>
                <w:iCs/>
              </w:rPr>
              <w:t xml:space="preserve"> </w:t>
            </w:r>
            <w:proofErr w:type="spellStart"/>
            <w:r w:rsidRPr="00097200">
              <w:rPr>
                <w:i/>
                <w:iCs/>
              </w:rPr>
              <w:t>pityocampa</w:t>
            </w:r>
            <w:proofErr w:type="spellEnd"/>
            <w:r w:rsidRPr="00097200">
              <w:t xml:space="preserve"> </w:t>
            </w:r>
            <w:proofErr w:type="gramStart"/>
            <w:r w:rsidRPr="00097200">
              <w:t>on the basis of</w:t>
            </w:r>
            <w:proofErr w:type="gramEnd"/>
            <w:r w:rsidRPr="00097200">
              <w:t xml:space="preserve"> official inspections and official surveys carried out at appropriate times;</w:t>
            </w:r>
          </w:p>
          <w:p w14:paraId="44ABFB18" w14:textId="77777777" w:rsidR="003B3DAD" w:rsidRPr="00097200" w:rsidRDefault="00F67853" w:rsidP="00B22B50">
            <w:pPr>
              <w:numPr>
                <w:ilvl w:val="0"/>
                <w:numId w:val="17"/>
              </w:numPr>
              <w:ind w:left="368" w:hanging="357"/>
            </w:pPr>
            <w:r w:rsidRPr="00097200">
              <w:t>Extends the remaining special requirements to include all plants other than seeds to all countries.</w:t>
            </w:r>
          </w:p>
          <w:p w14:paraId="14CC9D84" w14:textId="77777777" w:rsidR="003B3DAD" w:rsidRPr="00097200" w:rsidRDefault="00F67853" w:rsidP="004D1783">
            <w:pPr>
              <w:spacing w:before="120" w:after="120"/>
            </w:pPr>
            <w:r w:rsidRPr="00097200">
              <w:t xml:space="preserve">If a country has Pest Free status for </w:t>
            </w:r>
            <w:proofErr w:type="spellStart"/>
            <w:r w:rsidRPr="00097200">
              <w:rPr>
                <w:i/>
                <w:iCs/>
              </w:rPr>
              <w:t>Thaumetopoea</w:t>
            </w:r>
            <w:proofErr w:type="spellEnd"/>
            <w:r w:rsidRPr="00097200">
              <w:rPr>
                <w:i/>
                <w:iCs/>
              </w:rPr>
              <w:t xml:space="preserve"> </w:t>
            </w:r>
            <w:proofErr w:type="spellStart"/>
            <w:r w:rsidRPr="00097200">
              <w:rPr>
                <w:i/>
                <w:iCs/>
              </w:rPr>
              <w:t>pityocampa</w:t>
            </w:r>
            <w:proofErr w:type="spellEnd"/>
            <w:r w:rsidRPr="00097200">
              <w:t xml:space="preserve"> then the change has no impact.</w:t>
            </w:r>
            <w:bookmarkEnd w:id="12"/>
          </w:p>
        </w:tc>
      </w:tr>
      <w:tr w:rsidR="003B3DAD" w14:paraId="6BD74F84" w14:textId="77777777" w:rsidTr="00B056CB">
        <w:tc>
          <w:tcPr>
            <w:tcW w:w="707" w:type="dxa"/>
            <w:tcBorders>
              <w:top w:val="single" w:sz="6" w:space="0" w:color="auto"/>
              <w:bottom w:val="single" w:sz="6" w:space="0" w:color="auto"/>
            </w:tcBorders>
            <w:shd w:val="clear" w:color="auto" w:fill="auto"/>
          </w:tcPr>
          <w:p w14:paraId="4F9CA30E" w14:textId="77777777" w:rsidR="00326D34" w:rsidRPr="004D1783" w:rsidRDefault="00F6785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7283072" w14:textId="77777777" w:rsidR="00326D34" w:rsidRPr="004D1783" w:rsidRDefault="00F67853"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X</w:t>
            </w:r>
            <w:bookmarkEnd w:id="17"/>
            <w:r w:rsidRPr="004D1783">
              <w:rPr>
                <w:b/>
              </w:rPr>
              <w:t>] protect territory from other damage from pests.</w:t>
            </w:r>
            <w:r w:rsidRPr="00622035">
              <w:rPr>
                <w:bCs/>
              </w:rPr>
              <w:t xml:space="preserve"> </w:t>
            </w:r>
            <w:bookmarkStart w:id="18" w:name="sps7f"/>
            <w:bookmarkEnd w:id="18"/>
          </w:p>
        </w:tc>
      </w:tr>
      <w:tr w:rsidR="003B3DAD" w14:paraId="032B8E47" w14:textId="77777777" w:rsidTr="00B056CB">
        <w:tc>
          <w:tcPr>
            <w:tcW w:w="707" w:type="dxa"/>
            <w:tcBorders>
              <w:top w:val="single" w:sz="6" w:space="0" w:color="auto"/>
              <w:bottom w:val="single" w:sz="6" w:space="0" w:color="auto"/>
            </w:tcBorders>
            <w:shd w:val="clear" w:color="auto" w:fill="auto"/>
          </w:tcPr>
          <w:p w14:paraId="3E126D72" w14:textId="77777777" w:rsidR="00326D34" w:rsidRPr="004D1783" w:rsidRDefault="00F6785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3FD76DE" w14:textId="77777777" w:rsidR="00326D34" w:rsidRPr="004D1783" w:rsidRDefault="00F67853" w:rsidP="004D1783">
            <w:pPr>
              <w:spacing w:before="120" w:after="120"/>
            </w:pPr>
            <w:r w:rsidRPr="004D1783">
              <w:rPr>
                <w:b/>
              </w:rPr>
              <w:t>Nature of the urgent problem(s) and reason for urgent action:</w:t>
            </w:r>
            <w:r w:rsidRPr="00786DCE">
              <w:t xml:space="preserve"> </w:t>
            </w:r>
            <w:bookmarkStart w:id="19" w:name="sps8a"/>
            <w:r w:rsidRPr="00786DCE">
              <w:t xml:space="preserve">Enhanced import requirements are being introduced following interceptions of </w:t>
            </w:r>
            <w:proofErr w:type="spellStart"/>
            <w:r w:rsidRPr="00786DCE">
              <w:rPr>
                <w:i/>
                <w:iCs/>
              </w:rPr>
              <w:t>Thaumetopoea</w:t>
            </w:r>
            <w:proofErr w:type="spellEnd"/>
            <w:r w:rsidRPr="00786DCE">
              <w:rPr>
                <w:i/>
                <w:iCs/>
              </w:rPr>
              <w:t xml:space="preserve"> </w:t>
            </w:r>
            <w:proofErr w:type="spellStart"/>
            <w:r w:rsidRPr="00786DCE">
              <w:rPr>
                <w:i/>
                <w:iCs/>
              </w:rPr>
              <w:t>pityocampa</w:t>
            </w:r>
            <w:proofErr w:type="spellEnd"/>
            <w:r w:rsidRPr="00786DCE">
              <w:rPr>
                <w:i/>
                <w:iCs/>
              </w:rPr>
              <w:t xml:space="preserve"> </w:t>
            </w:r>
            <w:r w:rsidRPr="00786DCE">
              <w:t>on</w:t>
            </w:r>
            <w:r w:rsidRPr="00786DCE">
              <w:rPr>
                <w:i/>
                <w:iCs/>
              </w:rPr>
              <w:t xml:space="preserve"> Pinus trees </w:t>
            </w:r>
            <w:r w:rsidRPr="00786DCE">
              <w:t xml:space="preserve">imported in 2022 from places of production that had been officially designated as free of the pest. The special requirement option to declare by an official statement that 'the plants have been produced in nurseries which, along with their vicinity, have been found free from </w:t>
            </w:r>
            <w:proofErr w:type="spellStart"/>
            <w:r w:rsidRPr="00786DCE">
              <w:rPr>
                <w:i/>
                <w:iCs/>
              </w:rPr>
              <w:t>Thaumetopoea</w:t>
            </w:r>
            <w:proofErr w:type="spellEnd"/>
            <w:r w:rsidRPr="00786DCE">
              <w:rPr>
                <w:i/>
                <w:iCs/>
              </w:rPr>
              <w:t xml:space="preserve"> </w:t>
            </w:r>
            <w:proofErr w:type="spellStart"/>
            <w:r w:rsidRPr="00786DCE">
              <w:rPr>
                <w:i/>
                <w:iCs/>
              </w:rPr>
              <w:t>pityocampa</w:t>
            </w:r>
            <w:proofErr w:type="spellEnd"/>
            <w:r w:rsidRPr="00786DCE">
              <w:t xml:space="preserve"> </w:t>
            </w:r>
            <w:proofErr w:type="gramStart"/>
            <w:r w:rsidRPr="00786DCE">
              <w:t>on the basis of</w:t>
            </w:r>
            <w:proofErr w:type="gramEnd"/>
            <w:r w:rsidRPr="00786DCE">
              <w:t xml:space="preserve"> official inspections and official surveys carried out at appropriate times' is no longer considered robust or sufficient in providing assurance that plants are free from the pest. Additionally, the remaining special requirements are being extended to include all 'plants', due to evidence that other plants </w:t>
            </w:r>
            <w:r w:rsidRPr="00786DCE">
              <w:lastRenderedPageBreak/>
              <w:t>and cut foliage are a pathway for entry.</w:t>
            </w:r>
          </w:p>
          <w:p w14:paraId="0DC6154B" w14:textId="77777777" w:rsidR="003B3DAD" w:rsidRPr="00786DCE" w:rsidRDefault="00F67853" w:rsidP="004D1783">
            <w:pPr>
              <w:spacing w:before="120" w:after="120"/>
            </w:pPr>
            <w:proofErr w:type="gramStart"/>
            <w:r w:rsidRPr="00786DCE">
              <w:t>In light of</w:t>
            </w:r>
            <w:proofErr w:type="gramEnd"/>
            <w:r w:rsidRPr="00786DCE">
              <w:t xml:space="preserve"> the developments described above, and further evidence that the immediate vicinity of a number of nurseries which have been exporting to Great Britain are infested with the pest, it is considered that the existing import requirements are not adequate to mitigate the risk of introduction of this pest and meet our appropriate level of protection. Additionally, the range of </w:t>
            </w:r>
            <w:proofErr w:type="spellStart"/>
            <w:r w:rsidRPr="00786DCE">
              <w:rPr>
                <w:i/>
                <w:iCs/>
              </w:rPr>
              <w:t>Thaumetopoea</w:t>
            </w:r>
            <w:proofErr w:type="spellEnd"/>
            <w:r w:rsidRPr="00786DCE">
              <w:rPr>
                <w:i/>
                <w:iCs/>
              </w:rPr>
              <w:t xml:space="preserve"> </w:t>
            </w:r>
            <w:proofErr w:type="spellStart"/>
            <w:r w:rsidRPr="00786DCE">
              <w:rPr>
                <w:i/>
                <w:iCs/>
              </w:rPr>
              <w:t>pityocampa</w:t>
            </w:r>
            <w:proofErr w:type="spellEnd"/>
            <w:r w:rsidRPr="00786DCE">
              <w:t xml:space="preserve"> has been spreading north in mainland Europe and is of increasing concern to Great Britain. Given the recent interception on imports into Great Britain, the spread of the pest, and the highly mobile nature of </w:t>
            </w:r>
            <w:proofErr w:type="spellStart"/>
            <w:r w:rsidRPr="00786DCE">
              <w:rPr>
                <w:i/>
                <w:iCs/>
              </w:rPr>
              <w:t>Thaumetopoea</w:t>
            </w:r>
            <w:proofErr w:type="spellEnd"/>
            <w:r w:rsidRPr="00786DCE">
              <w:rPr>
                <w:i/>
                <w:iCs/>
              </w:rPr>
              <w:t xml:space="preserve"> </w:t>
            </w:r>
            <w:proofErr w:type="spellStart"/>
            <w:r w:rsidRPr="00786DCE">
              <w:rPr>
                <w:i/>
                <w:iCs/>
              </w:rPr>
              <w:t>pityocampa</w:t>
            </w:r>
            <w:proofErr w:type="spellEnd"/>
            <w:r w:rsidRPr="00786DCE">
              <w:t xml:space="preserve"> with its flying season due to commence imminently, we have determined these measures are required to reduce the risk of pest import.</w:t>
            </w:r>
            <w:bookmarkEnd w:id="19"/>
          </w:p>
        </w:tc>
      </w:tr>
      <w:tr w:rsidR="003B3DAD" w14:paraId="2222F6D8" w14:textId="77777777" w:rsidTr="00B056CB">
        <w:tc>
          <w:tcPr>
            <w:tcW w:w="707" w:type="dxa"/>
            <w:tcBorders>
              <w:top w:val="single" w:sz="6" w:space="0" w:color="auto"/>
              <w:bottom w:val="single" w:sz="6" w:space="0" w:color="auto"/>
            </w:tcBorders>
            <w:shd w:val="clear" w:color="auto" w:fill="auto"/>
          </w:tcPr>
          <w:p w14:paraId="38FDFDD4" w14:textId="77777777" w:rsidR="00326D34" w:rsidRPr="004D1783" w:rsidRDefault="00F67853"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2FF852A" w14:textId="77777777" w:rsidR="00326D34" w:rsidRPr="004D1783" w:rsidRDefault="00F67853" w:rsidP="004D1783">
            <w:pPr>
              <w:spacing w:before="120" w:after="120"/>
              <w:rPr>
                <w:b/>
              </w:rPr>
            </w:pPr>
            <w:r w:rsidRPr="004D1783">
              <w:rPr>
                <w:b/>
              </w:rPr>
              <w:t xml:space="preserve">Is there a relevant international standard? If so, identify the standard: </w:t>
            </w:r>
          </w:p>
          <w:p w14:paraId="1FA449E4" w14:textId="77777777" w:rsidR="00326D34" w:rsidRPr="004D1783" w:rsidRDefault="00F67853"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B37B0E" w14:textId="77777777" w:rsidR="00326D34" w:rsidRPr="004D1783" w:rsidRDefault="00F67853" w:rsidP="004D1783">
            <w:pPr>
              <w:spacing w:after="120"/>
              <w:ind w:left="720" w:hanging="720"/>
            </w:pPr>
            <w:proofErr w:type="gramStart"/>
            <w:r w:rsidRPr="004D1783">
              <w:rPr>
                <w:b/>
              </w:rPr>
              <w:t>[</w:t>
            </w:r>
            <w:bookmarkStart w:id="22" w:name="sps9b"/>
            <w:r w:rsidRPr="004D1783">
              <w:rPr>
                <w:b/>
              </w:rPr>
              <w:t> </w:t>
            </w:r>
            <w:bookmarkEnd w:id="22"/>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C84C705" w14:textId="77777777" w:rsidR="00326D34" w:rsidRPr="004D1783" w:rsidRDefault="00F67853"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CD3B2E7" w14:textId="77777777" w:rsidR="00326D34" w:rsidRPr="004D1783" w:rsidRDefault="00F67853"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40832893" w14:textId="77777777" w:rsidR="00326D34" w:rsidRPr="004D1783" w:rsidRDefault="00F67853" w:rsidP="004D1783">
            <w:pPr>
              <w:spacing w:after="120"/>
              <w:rPr>
                <w:b/>
              </w:rPr>
            </w:pPr>
            <w:r w:rsidRPr="004D1783">
              <w:rPr>
                <w:b/>
              </w:rPr>
              <w:t>Does this proposed regulation conform to the relevant international standard?</w:t>
            </w:r>
          </w:p>
          <w:p w14:paraId="02B87562" w14:textId="77777777" w:rsidR="00326D34" w:rsidRPr="004D1783" w:rsidRDefault="00F67853" w:rsidP="004D1783">
            <w:pPr>
              <w:spacing w:after="120"/>
              <w:rPr>
                <w:b/>
              </w:rPr>
            </w:pPr>
            <w:proofErr w:type="gramStart"/>
            <w:r w:rsidRPr="004D1783">
              <w:rPr>
                <w:b/>
              </w:rPr>
              <w:t>[</w:t>
            </w:r>
            <w:bookmarkStart w:id="27" w:name="sps9ey"/>
            <w:r w:rsidRPr="004D1783">
              <w:rPr>
                <w:b/>
              </w:rPr>
              <w:t> </w:t>
            </w:r>
            <w:bookmarkEnd w:id="27"/>
            <w:r w:rsidRPr="004D1783">
              <w:rPr>
                <w:b/>
              </w:rPr>
              <w:t>]</w:t>
            </w:r>
            <w:proofErr w:type="gramEnd"/>
            <w:r w:rsidRPr="004D1783">
              <w:rPr>
                <w:b/>
              </w:rPr>
              <w:t xml:space="preserve"> Yes   [</w:t>
            </w:r>
            <w:bookmarkStart w:id="28" w:name="sps9en"/>
            <w:r w:rsidRPr="004D1783">
              <w:rPr>
                <w:b/>
              </w:rPr>
              <w:t> </w:t>
            </w:r>
            <w:bookmarkEnd w:id="28"/>
            <w:r w:rsidRPr="004D1783">
              <w:rPr>
                <w:b/>
              </w:rPr>
              <w:t>] No</w:t>
            </w:r>
          </w:p>
          <w:p w14:paraId="797BEC3E" w14:textId="77777777" w:rsidR="00326D34" w:rsidRPr="004D1783" w:rsidRDefault="00F6785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B3DAD" w14:paraId="24AA3EAF" w14:textId="77777777" w:rsidTr="00B056CB">
        <w:tc>
          <w:tcPr>
            <w:tcW w:w="707" w:type="dxa"/>
            <w:tcBorders>
              <w:top w:val="single" w:sz="6" w:space="0" w:color="auto"/>
              <w:bottom w:val="single" w:sz="6" w:space="0" w:color="auto"/>
            </w:tcBorders>
            <w:shd w:val="clear" w:color="auto" w:fill="auto"/>
          </w:tcPr>
          <w:p w14:paraId="326491AA" w14:textId="77777777" w:rsidR="00326D34" w:rsidRPr="004D1783" w:rsidRDefault="00F6785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734EE63" w14:textId="77777777" w:rsidR="00326D34" w:rsidRPr="004D1783" w:rsidRDefault="00F6785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B3DAD" w14:paraId="0DCA5C63" w14:textId="77777777" w:rsidTr="00B056CB">
        <w:tc>
          <w:tcPr>
            <w:tcW w:w="707" w:type="dxa"/>
            <w:tcBorders>
              <w:top w:val="single" w:sz="6" w:space="0" w:color="auto"/>
              <w:bottom w:val="single" w:sz="6" w:space="0" w:color="auto"/>
            </w:tcBorders>
            <w:shd w:val="clear" w:color="auto" w:fill="auto"/>
          </w:tcPr>
          <w:p w14:paraId="32337693" w14:textId="77777777" w:rsidR="00326D34" w:rsidRPr="004D1783" w:rsidRDefault="00F6785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58A550" w14:textId="45752C17" w:rsidR="00326D34" w:rsidRPr="004D1783" w:rsidRDefault="00F6785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t> </w:t>
            </w:r>
            <w:r w:rsidRPr="00EC5D60">
              <w:t>April 2022</w:t>
            </w:r>
            <w:bookmarkEnd w:id="32"/>
          </w:p>
          <w:p w14:paraId="12CAEBF2" w14:textId="77777777" w:rsidR="00326D34" w:rsidRPr="004D1783" w:rsidRDefault="00F67853"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3B3DAD" w14:paraId="750C4818" w14:textId="77777777" w:rsidTr="00B056CB">
        <w:tc>
          <w:tcPr>
            <w:tcW w:w="707" w:type="dxa"/>
            <w:tcBorders>
              <w:top w:val="single" w:sz="6" w:space="0" w:color="auto"/>
              <w:bottom w:val="single" w:sz="6" w:space="0" w:color="auto"/>
            </w:tcBorders>
            <w:shd w:val="clear" w:color="auto" w:fill="auto"/>
          </w:tcPr>
          <w:p w14:paraId="274701A8" w14:textId="77777777" w:rsidR="00326D34" w:rsidRPr="004D1783" w:rsidRDefault="00F6785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A174CA4" w14:textId="77777777" w:rsidR="00326D34" w:rsidRPr="004D1783" w:rsidRDefault="00F6785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xml:space="preserve">] National Notification Authority, </w:t>
            </w:r>
            <w:proofErr w:type="gramStart"/>
            <w:r w:rsidRPr="004D1783">
              <w:rPr>
                <w:b/>
              </w:rPr>
              <w:t>[</w:t>
            </w:r>
            <w:bookmarkStart w:id="36" w:name="sps12b"/>
            <w:r w:rsidRPr="004D1783">
              <w:rPr>
                <w:b/>
              </w:rPr>
              <w:t> </w:t>
            </w:r>
            <w:bookmarkEnd w:id="36"/>
            <w:r w:rsidRPr="004D1783">
              <w:rPr>
                <w:b/>
              </w:rPr>
              <w:t>]</w:t>
            </w:r>
            <w:proofErr w:type="gramEnd"/>
            <w:r w:rsidRPr="004D1783">
              <w:rPr>
                <w:b/>
              </w:rPr>
              <w:t> National Enquiry Point. Address, fax number and e-mail address (if available) of other body:</w:t>
            </w:r>
            <w:r w:rsidRPr="00EC5D60">
              <w:t xml:space="preserve"> </w:t>
            </w:r>
            <w:bookmarkStart w:id="37" w:name="sps12c"/>
          </w:p>
          <w:p w14:paraId="1AE41BC7" w14:textId="77777777" w:rsidR="003B3DAD" w:rsidRPr="00EC5D60" w:rsidRDefault="00F67853" w:rsidP="004D1783">
            <w:r w:rsidRPr="00EC5D60">
              <w:t>UK SPS Contact Point, Defra, Nobel House, London SW1P 3JR</w:t>
            </w:r>
          </w:p>
          <w:p w14:paraId="3C0A5FDC" w14:textId="77777777" w:rsidR="003B3DAD" w:rsidRPr="00EC5D60" w:rsidRDefault="00F67853" w:rsidP="004D1783">
            <w:pPr>
              <w:spacing w:after="120"/>
            </w:pPr>
            <w:r w:rsidRPr="00EC5D60">
              <w:t xml:space="preserve">E-mail: </w:t>
            </w:r>
            <w:hyperlink r:id="rId7" w:history="1">
              <w:r w:rsidRPr="00EC5D60">
                <w:rPr>
                  <w:color w:val="0000FF"/>
                  <w:u w:val="single"/>
                </w:rPr>
                <w:t>UKSPS@defra.gov.uk</w:t>
              </w:r>
            </w:hyperlink>
            <w:r w:rsidRPr="00EC5D60">
              <w:rPr>
                <w:b/>
                <w:bCs/>
              </w:rPr>
              <w:t xml:space="preserve"> </w:t>
            </w:r>
            <w:bookmarkEnd w:id="37"/>
          </w:p>
        </w:tc>
      </w:tr>
      <w:tr w:rsidR="003B3DAD" w14:paraId="0DA03071" w14:textId="77777777" w:rsidTr="00B056CB">
        <w:tc>
          <w:tcPr>
            <w:tcW w:w="707" w:type="dxa"/>
            <w:tcBorders>
              <w:top w:val="single" w:sz="6" w:space="0" w:color="auto"/>
            </w:tcBorders>
            <w:shd w:val="clear" w:color="auto" w:fill="auto"/>
          </w:tcPr>
          <w:p w14:paraId="7336C45D" w14:textId="77777777" w:rsidR="00326D34" w:rsidRPr="004D1783" w:rsidRDefault="00F6785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182989" w14:textId="77777777" w:rsidR="00326D34" w:rsidRPr="004D1783" w:rsidRDefault="00F67853"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4FE2917" w14:textId="77777777" w:rsidR="00326D34" w:rsidRPr="00EC5D60" w:rsidRDefault="00F67853" w:rsidP="00B056CB">
            <w:pPr>
              <w:keepNext/>
              <w:keepLines/>
              <w:rPr>
                <w:bCs/>
              </w:rPr>
            </w:pPr>
            <w:r w:rsidRPr="00EC5D60">
              <w:rPr>
                <w:bCs/>
              </w:rPr>
              <w:t>UK SPS Contact Point, Defra, Nobel House, London SW1P 3JR</w:t>
            </w:r>
          </w:p>
          <w:p w14:paraId="757B134C" w14:textId="77777777" w:rsidR="00326D34" w:rsidRPr="00EC5D60" w:rsidRDefault="00F67853" w:rsidP="00B056CB">
            <w:pPr>
              <w:keepNext/>
              <w:keepLines/>
              <w:spacing w:after="120"/>
              <w:rPr>
                <w:bCs/>
              </w:rPr>
            </w:pPr>
            <w:r w:rsidRPr="00EC5D60">
              <w:rPr>
                <w:bCs/>
              </w:rPr>
              <w:t xml:space="preserve">E-mail: </w:t>
            </w:r>
            <w:hyperlink r:id="rId8" w:history="1">
              <w:r w:rsidRPr="00EC5D60">
                <w:rPr>
                  <w:bCs/>
                  <w:color w:val="0000FF"/>
                  <w:u w:val="single"/>
                </w:rPr>
                <w:t>UKSPS@defra.gov.uk</w:t>
              </w:r>
            </w:hyperlink>
            <w:r w:rsidRPr="00EC5D60">
              <w:rPr>
                <w:b/>
                <w:bCs/>
              </w:rPr>
              <w:t xml:space="preserve"> </w:t>
            </w:r>
            <w:bookmarkEnd w:id="40"/>
          </w:p>
        </w:tc>
      </w:tr>
    </w:tbl>
    <w:p w14:paraId="556F0CD5" w14:textId="77777777" w:rsidR="007141CF" w:rsidRPr="004D1783" w:rsidRDefault="007141CF" w:rsidP="004D1783"/>
    <w:sectPr w:rsidR="007141CF" w:rsidRPr="004D1783" w:rsidSect="00B22B5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6318" w14:textId="77777777" w:rsidR="00941F6C" w:rsidRDefault="00F67853">
      <w:r>
        <w:separator/>
      </w:r>
    </w:p>
  </w:endnote>
  <w:endnote w:type="continuationSeparator" w:id="0">
    <w:p w14:paraId="3C9D0553" w14:textId="77777777" w:rsidR="00941F6C" w:rsidRDefault="00F6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CD6A" w14:textId="6432B404" w:rsidR="00326D34" w:rsidRPr="00B22B50" w:rsidRDefault="00B22B50" w:rsidP="00B22B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E41" w14:textId="0D33B39B" w:rsidR="00326D34" w:rsidRPr="00B22B50" w:rsidRDefault="00B22B50" w:rsidP="00B22B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D0B" w14:textId="77777777" w:rsidR="007C2582" w:rsidRPr="004D1783" w:rsidRDefault="00F6785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208C" w14:textId="77777777" w:rsidR="00941F6C" w:rsidRDefault="00F67853">
      <w:r>
        <w:separator/>
      </w:r>
    </w:p>
  </w:footnote>
  <w:footnote w:type="continuationSeparator" w:id="0">
    <w:p w14:paraId="666F40D3" w14:textId="77777777" w:rsidR="00941F6C" w:rsidRDefault="00F6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CCA8" w14:textId="77777777" w:rsidR="00B22B50" w:rsidRPr="00B22B50" w:rsidRDefault="00B22B50" w:rsidP="00B22B50">
    <w:pPr>
      <w:pStyle w:val="Header"/>
      <w:pBdr>
        <w:bottom w:val="single" w:sz="4" w:space="1" w:color="auto"/>
      </w:pBdr>
      <w:tabs>
        <w:tab w:val="clear" w:pos="4513"/>
        <w:tab w:val="clear" w:pos="9027"/>
      </w:tabs>
      <w:jc w:val="center"/>
    </w:pPr>
    <w:r w:rsidRPr="00B22B50">
      <w:t>G/SPS/N/GBR/14</w:t>
    </w:r>
  </w:p>
  <w:p w14:paraId="76D3EDA5" w14:textId="77777777" w:rsidR="00B22B50" w:rsidRPr="00B22B50" w:rsidRDefault="00B22B50" w:rsidP="00B22B50">
    <w:pPr>
      <w:pStyle w:val="Header"/>
      <w:pBdr>
        <w:bottom w:val="single" w:sz="4" w:space="1" w:color="auto"/>
      </w:pBdr>
      <w:tabs>
        <w:tab w:val="clear" w:pos="4513"/>
        <w:tab w:val="clear" w:pos="9027"/>
      </w:tabs>
      <w:jc w:val="center"/>
    </w:pPr>
  </w:p>
  <w:p w14:paraId="423C4BE6" w14:textId="0D6F0307" w:rsidR="00B22B50" w:rsidRPr="00B22B50" w:rsidRDefault="00B22B50" w:rsidP="00B22B50">
    <w:pPr>
      <w:pStyle w:val="Header"/>
      <w:pBdr>
        <w:bottom w:val="single" w:sz="4" w:space="1" w:color="auto"/>
      </w:pBdr>
      <w:tabs>
        <w:tab w:val="clear" w:pos="4513"/>
        <w:tab w:val="clear" w:pos="9027"/>
      </w:tabs>
      <w:jc w:val="center"/>
    </w:pPr>
    <w:r w:rsidRPr="00B22B50">
      <w:t xml:space="preserve">- </w:t>
    </w:r>
    <w:r w:rsidRPr="00B22B50">
      <w:fldChar w:fldCharType="begin"/>
    </w:r>
    <w:r w:rsidRPr="00B22B50">
      <w:instrText xml:space="preserve"> PAGE </w:instrText>
    </w:r>
    <w:r w:rsidRPr="00B22B50">
      <w:fldChar w:fldCharType="separate"/>
    </w:r>
    <w:r w:rsidRPr="00B22B50">
      <w:rPr>
        <w:noProof/>
      </w:rPr>
      <w:t>2</w:t>
    </w:r>
    <w:r w:rsidRPr="00B22B50">
      <w:fldChar w:fldCharType="end"/>
    </w:r>
    <w:r w:rsidRPr="00B22B50">
      <w:t xml:space="preserve"> -</w:t>
    </w:r>
  </w:p>
  <w:p w14:paraId="1094E03F" w14:textId="5976EBAE" w:rsidR="00326D34" w:rsidRPr="00B22B50" w:rsidRDefault="00326D34" w:rsidP="00B22B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3482" w14:textId="77777777" w:rsidR="00B22B50" w:rsidRPr="00B22B50" w:rsidRDefault="00B22B50" w:rsidP="00B22B50">
    <w:pPr>
      <w:pStyle w:val="Header"/>
      <w:pBdr>
        <w:bottom w:val="single" w:sz="4" w:space="1" w:color="auto"/>
      </w:pBdr>
      <w:tabs>
        <w:tab w:val="clear" w:pos="4513"/>
        <w:tab w:val="clear" w:pos="9027"/>
      </w:tabs>
      <w:jc w:val="center"/>
    </w:pPr>
    <w:r w:rsidRPr="00B22B50">
      <w:t>G/SPS/N/GBR/14</w:t>
    </w:r>
  </w:p>
  <w:p w14:paraId="626861A5" w14:textId="77777777" w:rsidR="00B22B50" w:rsidRPr="00B22B50" w:rsidRDefault="00B22B50" w:rsidP="00B22B50">
    <w:pPr>
      <w:pStyle w:val="Header"/>
      <w:pBdr>
        <w:bottom w:val="single" w:sz="4" w:space="1" w:color="auto"/>
      </w:pBdr>
      <w:tabs>
        <w:tab w:val="clear" w:pos="4513"/>
        <w:tab w:val="clear" w:pos="9027"/>
      </w:tabs>
      <w:jc w:val="center"/>
    </w:pPr>
  </w:p>
  <w:p w14:paraId="58C0EBC6" w14:textId="3D904308" w:rsidR="00B22B50" w:rsidRPr="00B22B50" w:rsidRDefault="00B22B50" w:rsidP="00B22B50">
    <w:pPr>
      <w:pStyle w:val="Header"/>
      <w:pBdr>
        <w:bottom w:val="single" w:sz="4" w:space="1" w:color="auto"/>
      </w:pBdr>
      <w:tabs>
        <w:tab w:val="clear" w:pos="4513"/>
        <w:tab w:val="clear" w:pos="9027"/>
      </w:tabs>
      <w:jc w:val="center"/>
    </w:pPr>
    <w:r w:rsidRPr="00B22B50">
      <w:t xml:space="preserve">- </w:t>
    </w:r>
    <w:r w:rsidRPr="00B22B50">
      <w:fldChar w:fldCharType="begin"/>
    </w:r>
    <w:r w:rsidRPr="00B22B50">
      <w:instrText xml:space="preserve"> PAGE </w:instrText>
    </w:r>
    <w:r w:rsidRPr="00B22B50">
      <w:fldChar w:fldCharType="separate"/>
    </w:r>
    <w:r w:rsidRPr="00B22B50">
      <w:rPr>
        <w:noProof/>
      </w:rPr>
      <w:t>2</w:t>
    </w:r>
    <w:r w:rsidRPr="00B22B50">
      <w:fldChar w:fldCharType="end"/>
    </w:r>
    <w:r w:rsidRPr="00B22B50">
      <w:t xml:space="preserve"> -</w:t>
    </w:r>
  </w:p>
  <w:p w14:paraId="09BB3ACD" w14:textId="0830F202" w:rsidR="00326D34" w:rsidRPr="00B22B50" w:rsidRDefault="00326D34" w:rsidP="00B22B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3DAD" w14:paraId="7E246F57" w14:textId="77777777" w:rsidTr="00F766DE">
      <w:trPr>
        <w:trHeight w:val="240"/>
        <w:jc w:val="center"/>
      </w:trPr>
      <w:tc>
        <w:tcPr>
          <w:tcW w:w="3794" w:type="dxa"/>
          <w:shd w:val="clear" w:color="auto" w:fill="FFFFFF"/>
          <w:tcMar>
            <w:left w:w="108" w:type="dxa"/>
            <w:right w:w="108" w:type="dxa"/>
          </w:tcMar>
          <w:vAlign w:val="center"/>
        </w:tcPr>
        <w:p w14:paraId="271B93F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8076116" w14:textId="19D3663D" w:rsidR="00ED54E0" w:rsidRPr="00326D34" w:rsidRDefault="00B22B50" w:rsidP="00545F9C">
          <w:pPr>
            <w:jc w:val="right"/>
            <w:rPr>
              <w:b/>
              <w:color w:val="FF0000"/>
              <w:szCs w:val="16"/>
            </w:rPr>
          </w:pPr>
          <w:r>
            <w:rPr>
              <w:b/>
              <w:color w:val="FF0000"/>
              <w:szCs w:val="16"/>
            </w:rPr>
            <w:t xml:space="preserve"> </w:t>
          </w:r>
        </w:p>
      </w:tc>
    </w:tr>
    <w:bookmarkEnd w:id="41"/>
    <w:tr w:rsidR="003B3DAD" w14:paraId="5273C37E" w14:textId="77777777" w:rsidTr="00F766DE">
      <w:trPr>
        <w:trHeight w:val="213"/>
        <w:jc w:val="center"/>
      </w:trPr>
      <w:tc>
        <w:tcPr>
          <w:tcW w:w="3794" w:type="dxa"/>
          <w:vMerge w:val="restart"/>
          <w:shd w:val="clear" w:color="auto" w:fill="FFFFFF"/>
          <w:tcMar>
            <w:left w:w="0" w:type="dxa"/>
            <w:right w:w="0" w:type="dxa"/>
          </w:tcMar>
        </w:tcPr>
        <w:p w14:paraId="56D06174" w14:textId="77777777" w:rsidR="00ED54E0" w:rsidRPr="00326D34" w:rsidRDefault="00447EC0" w:rsidP="00545F9C">
          <w:pPr>
            <w:jc w:val="left"/>
          </w:pPr>
          <w:r>
            <w:rPr>
              <w:lang w:eastAsia="en-GB"/>
            </w:rPr>
            <w:pict w14:anchorId="41396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95pt;visibility:visible">
                <v:imagedata r:id="rId1" o:title=""/>
              </v:shape>
            </w:pict>
          </w:r>
        </w:p>
      </w:tc>
      <w:tc>
        <w:tcPr>
          <w:tcW w:w="5448" w:type="dxa"/>
          <w:gridSpan w:val="2"/>
          <w:shd w:val="clear" w:color="auto" w:fill="FFFFFF"/>
          <w:tcMar>
            <w:left w:w="108" w:type="dxa"/>
            <w:right w:w="108" w:type="dxa"/>
          </w:tcMar>
        </w:tcPr>
        <w:p w14:paraId="13377AEE" w14:textId="77777777" w:rsidR="00ED54E0" w:rsidRPr="00326D34" w:rsidRDefault="00ED54E0" w:rsidP="00545F9C">
          <w:pPr>
            <w:jc w:val="right"/>
            <w:rPr>
              <w:b/>
              <w:szCs w:val="16"/>
            </w:rPr>
          </w:pPr>
        </w:p>
      </w:tc>
    </w:tr>
    <w:tr w:rsidR="003B3DAD" w14:paraId="7380F035" w14:textId="77777777" w:rsidTr="00F766DE">
      <w:trPr>
        <w:trHeight w:val="868"/>
        <w:jc w:val="center"/>
      </w:trPr>
      <w:tc>
        <w:tcPr>
          <w:tcW w:w="3794" w:type="dxa"/>
          <w:vMerge/>
          <w:shd w:val="clear" w:color="auto" w:fill="FFFFFF"/>
          <w:tcMar>
            <w:left w:w="108" w:type="dxa"/>
            <w:right w:w="108" w:type="dxa"/>
          </w:tcMar>
        </w:tcPr>
        <w:p w14:paraId="3E1F9A1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CECA7CD" w14:textId="77777777" w:rsidR="00B22B50" w:rsidRDefault="00B22B50" w:rsidP="00043762">
          <w:pPr>
            <w:jc w:val="right"/>
            <w:rPr>
              <w:b/>
              <w:szCs w:val="16"/>
            </w:rPr>
          </w:pPr>
          <w:bookmarkStart w:id="42" w:name="bmkSymbols"/>
          <w:r>
            <w:rPr>
              <w:b/>
              <w:szCs w:val="16"/>
            </w:rPr>
            <w:t>G/SPS/N/GBR/14</w:t>
          </w:r>
        </w:p>
        <w:bookmarkEnd w:id="42"/>
        <w:p w14:paraId="5D67D5C6" w14:textId="6A74C669" w:rsidR="00ED54E0" w:rsidRPr="004D1783" w:rsidRDefault="00ED54E0" w:rsidP="00043762">
          <w:pPr>
            <w:jc w:val="right"/>
            <w:rPr>
              <w:b/>
              <w:szCs w:val="16"/>
            </w:rPr>
          </w:pPr>
        </w:p>
      </w:tc>
    </w:tr>
    <w:tr w:rsidR="003B3DAD" w14:paraId="5BEA1EFF" w14:textId="77777777" w:rsidTr="00F766DE">
      <w:trPr>
        <w:trHeight w:val="240"/>
        <w:jc w:val="center"/>
      </w:trPr>
      <w:tc>
        <w:tcPr>
          <w:tcW w:w="3794" w:type="dxa"/>
          <w:vMerge/>
          <w:shd w:val="clear" w:color="auto" w:fill="FFFFFF"/>
          <w:tcMar>
            <w:left w:w="108" w:type="dxa"/>
            <w:right w:w="108" w:type="dxa"/>
          </w:tcMar>
          <w:vAlign w:val="center"/>
        </w:tcPr>
        <w:p w14:paraId="348C14F2" w14:textId="77777777" w:rsidR="00ED54E0" w:rsidRPr="00326D34" w:rsidRDefault="00ED54E0" w:rsidP="00545F9C"/>
      </w:tc>
      <w:tc>
        <w:tcPr>
          <w:tcW w:w="5448" w:type="dxa"/>
          <w:gridSpan w:val="2"/>
          <w:shd w:val="clear" w:color="auto" w:fill="FFFFFF"/>
          <w:tcMar>
            <w:left w:w="108" w:type="dxa"/>
            <w:right w:w="108" w:type="dxa"/>
          </w:tcMar>
          <w:vAlign w:val="center"/>
        </w:tcPr>
        <w:p w14:paraId="7D0C4CC5" w14:textId="274B18C4" w:rsidR="00ED54E0" w:rsidRPr="00326D34" w:rsidRDefault="00CB2D63" w:rsidP="00545F9C">
          <w:pPr>
            <w:jc w:val="right"/>
            <w:rPr>
              <w:szCs w:val="16"/>
            </w:rPr>
          </w:pPr>
          <w:bookmarkStart w:id="43" w:name="spsDateDistribution"/>
          <w:bookmarkStart w:id="44" w:name="bmkDate"/>
          <w:bookmarkEnd w:id="43"/>
          <w:bookmarkEnd w:id="44"/>
          <w:r>
            <w:rPr>
              <w:szCs w:val="16"/>
            </w:rPr>
            <w:t>28 April 2022</w:t>
          </w:r>
        </w:p>
      </w:tc>
    </w:tr>
    <w:tr w:rsidR="003B3DAD" w14:paraId="000608B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B3F92C" w14:textId="3BA0DACA" w:rsidR="00ED54E0" w:rsidRPr="00326D34" w:rsidRDefault="00F67853" w:rsidP="00545F9C">
          <w:pPr>
            <w:jc w:val="left"/>
            <w:rPr>
              <w:b/>
            </w:rPr>
          </w:pPr>
          <w:bookmarkStart w:id="45" w:name="bmkSerial"/>
          <w:r w:rsidRPr="004D1783">
            <w:rPr>
              <w:color w:val="FF0000"/>
              <w:szCs w:val="16"/>
            </w:rPr>
            <w:t>(</w:t>
          </w:r>
          <w:bookmarkStart w:id="46" w:name="spsSerialNumber"/>
          <w:bookmarkEnd w:id="46"/>
          <w:r w:rsidR="00CB2D63">
            <w:rPr>
              <w:color w:val="FF0000"/>
              <w:szCs w:val="16"/>
            </w:rPr>
            <w:t>22-</w:t>
          </w:r>
          <w:r w:rsidR="00447EC0">
            <w:rPr>
              <w:color w:val="FF0000"/>
              <w:szCs w:val="16"/>
            </w:rPr>
            <w:t>3380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66AF355" w14:textId="77777777" w:rsidR="00ED54E0" w:rsidRPr="00326D34" w:rsidRDefault="00F6785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B3DAD" w14:paraId="1D8C9C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89A35D" w14:textId="2C35B09E" w:rsidR="00ED54E0" w:rsidRPr="00326D34" w:rsidRDefault="00B22B5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54CC774" w14:textId="5BDE27A4" w:rsidR="00ED54E0" w:rsidRPr="004D1783" w:rsidRDefault="00B22B50" w:rsidP="00BD648A">
          <w:pPr>
            <w:jc w:val="right"/>
            <w:rPr>
              <w:bCs/>
              <w:szCs w:val="18"/>
            </w:rPr>
          </w:pPr>
          <w:bookmarkStart w:id="49" w:name="bmkLanguage"/>
          <w:r>
            <w:rPr>
              <w:bCs/>
              <w:szCs w:val="18"/>
            </w:rPr>
            <w:t>Original: English</w:t>
          </w:r>
          <w:bookmarkEnd w:id="49"/>
        </w:p>
      </w:tc>
    </w:tr>
  </w:tbl>
  <w:p w14:paraId="364E707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32301A"/>
    <w:multiLevelType w:val="hybridMultilevel"/>
    <w:tmpl w:val="FEE413CA"/>
    <w:lvl w:ilvl="0" w:tplc="548AB696">
      <w:start w:val="1"/>
      <w:numFmt w:val="bullet"/>
      <w:lvlText w:val=""/>
      <w:lvlJc w:val="left"/>
      <w:pPr>
        <w:ind w:left="720" w:hanging="360"/>
      </w:pPr>
      <w:rPr>
        <w:rFonts w:ascii="Symbol" w:hAnsi="Symbol" w:hint="default"/>
      </w:rPr>
    </w:lvl>
    <w:lvl w:ilvl="1" w:tplc="C37E4A24">
      <w:start w:val="1"/>
      <w:numFmt w:val="bullet"/>
      <w:lvlText w:val="o"/>
      <w:lvlJc w:val="left"/>
      <w:pPr>
        <w:tabs>
          <w:tab w:val="num" w:pos="1440"/>
        </w:tabs>
        <w:ind w:left="1440" w:hanging="360"/>
      </w:pPr>
      <w:rPr>
        <w:rFonts w:ascii="Courier New" w:hAnsi="Courier New"/>
      </w:rPr>
    </w:lvl>
    <w:lvl w:ilvl="2" w:tplc="AD483F2C">
      <w:start w:val="1"/>
      <w:numFmt w:val="bullet"/>
      <w:lvlText w:val=""/>
      <w:lvlJc w:val="left"/>
      <w:pPr>
        <w:tabs>
          <w:tab w:val="num" w:pos="2160"/>
        </w:tabs>
        <w:ind w:left="2160" w:hanging="360"/>
      </w:pPr>
      <w:rPr>
        <w:rFonts w:ascii="Wingdings" w:hAnsi="Wingdings"/>
      </w:rPr>
    </w:lvl>
    <w:lvl w:ilvl="3" w:tplc="CD3E45FE">
      <w:start w:val="1"/>
      <w:numFmt w:val="bullet"/>
      <w:lvlText w:val=""/>
      <w:lvlJc w:val="left"/>
      <w:pPr>
        <w:tabs>
          <w:tab w:val="num" w:pos="2880"/>
        </w:tabs>
        <w:ind w:left="2880" w:hanging="360"/>
      </w:pPr>
      <w:rPr>
        <w:rFonts w:ascii="Symbol" w:hAnsi="Symbol"/>
      </w:rPr>
    </w:lvl>
    <w:lvl w:ilvl="4" w:tplc="B030C1D6">
      <w:start w:val="1"/>
      <w:numFmt w:val="bullet"/>
      <w:lvlText w:val="o"/>
      <w:lvlJc w:val="left"/>
      <w:pPr>
        <w:tabs>
          <w:tab w:val="num" w:pos="3600"/>
        </w:tabs>
        <w:ind w:left="3600" w:hanging="360"/>
      </w:pPr>
      <w:rPr>
        <w:rFonts w:ascii="Courier New" w:hAnsi="Courier New"/>
      </w:rPr>
    </w:lvl>
    <w:lvl w:ilvl="5" w:tplc="E01C1A90">
      <w:start w:val="1"/>
      <w:numFmt w:val="bullet"/>
      <w:lvlText w:val=""/>
      <w:lvlJc w:val="left"/>
      <w:pPr>
        <w:tabs>
          <w:tab w:val="num" w:pos="4320"/>
        </w:tabs>
        <w:ind w:left="4320" w:hanging="360"/>
      </w:pPr>
      <w:rPr>
        <w:rFonts w:ascii="Wingdings" w:hAnsi="Wingdings"/>
      </w:rPr>
    </w:lvl>
    <w:lvl w:ilvl="6" w:tplc="502C3522">
      <w:start w:val="1"/>
      <w:numFmt w:val="bullet"/>
      <w:lvlText w:val=""/>
      <w:lvlJc w:val="left"/>
      <w:pPr>
        <w:tabs>
          <w:tab w:val="num" w:pos="5040"/>
        </w:tabs>
        <w:ind w:left="5040" w:hanging="360"/>
      </w:pPr>
      <w:rPr>
        <w:rFonts w:ascii="Symbol" w:hAnsi="Symbol"/>
      </w:rPr>
    </w:lvl>
    <w:lvl w:ilvl="7" w:tplc="BE705C52">
      <w:start w:val="1"/>
      <w:numFmt w:val="bullet"/>
      <w:lvlText w:val="o"/>
      <w:lvlJc w:val="left"/>
      <w:pPr>
        <w:tabs>
          <w:tab w:val="num" w:pos="5760"/>
        </w:tabs>
        <w:ind w:left="5760" w:hanging="360"/>
      </w:pPr>
      <w:rPr>
        <w:rFonts w:ascii="Courier New" w:hAnsi="Courier New"/>
      </w:rPr>
    </w:lvl>
    <w:lvl w:ilvl="8" w:tplc="4C640928">
      <w:start w:val="1"/>
      <w:numFmt w:val="bullet"/>
      <w:lvlText w:val=""/>
      <w:lvlJc w:val="left"/>
      <w:pPr>
        <w:tabs>
          <w:tab w:val="num" w:pos="6480"/>
        </w:tabs>
        <w:ind w:left="6480" w:hanging="360"/>
      </w:pPr>
      <w:rPr>
        <w:rFonts w:ascii="Wingdings" w:hAnsi="Wingdings"/>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C125C3A">
      <w:start w:val="1"/>
      <w:numFmt w:val="decimal"/>
      <w:pStyle w:val="SummaryText"/>
      <w:lvlText w:val="%1."/>
      <w:lvlJc w:val="left"/>
      <w:pPr>
        <w:ind w:left="360" w:hanging="360"/>
      </w:pPr>
    </w:lvl>
    <w:lvl w:ilvl="1" w:tplc="76AC3386" w:tentative="1">
      <w:start w:val="1"/>
      <w:numFmt w:val="lowerLetter"/>
      <w:lvlText w:val="%2."/>
      <w:lvlJc w:val="left"/>
      <w:pPr>
        <w:ind w:left="1080" w:hanging="360"/>
      </w:pPr>
    </w:lvl>
    <w:lvl w:ilvl="2" w:tplc="19DA00BA" w:tentative="1">
      <w:start w:val="1"/>
      <w:numFmt w:val="lowerRoman"/>
      <w:lvlText w:val="%3."/>
      <w:lvlJc w:val="right"/>
      <w:pPr>
        <w:ind w:left="1800" w:hanging="180"/>
      </w:pPr>
    </w:lvl>
    <w:lvl w:ilvl="3" w:tplc="1B26FCC6" w:tentative="1">
      <w:start w:val="1"/>
      <w:numFmt w:val="decimal"/>
      <w:lvlText w:val="%4."/>
      <w:lvlJc w:val="left"/>
      <w:pPr>
        <w:ind w:left="2520" w:hanging="360"/>
      </w:pPr>
    </w:lvl>
    <w:lvl w:ilvl="4" w:tplc="FD5C47EC" w:tentative="1">
      <w:start w:val="1"/>
      <w:numFmt w:val="lowerLetter"/>
      <w:lvlText w:val="%5."/>
      <w:lvlJc w:val="left"/>
      <w:pPr>
        <w:ind w:left="3240" w:hanging="360"/>
      </w:pPr>
    </w:lvl>
    <w:lvl w:ilvl="5" w:tplc="B622E118" w:tentative="1">
      <w:start w:val="1"/>
      <w:numFmt w:val="lowerRoman"/>
      <w:lvlText w:val="%6."/>
      <w:lvlJc w:val="right"/>
      <w:pPr>
        <w:ind w:left="3960" w:hanging="180"/>
      </w:pPr>
    </w:lvl>
    <w:lvl w:ilvl="6" w:tplc="E932CE6C" w:tentative="1">
      <w:start w:val="1"/>
      <w:numFmt w:val="decimal"/>
      <w:lvlText w:val="%7."/>
      <w:lvlJc w:val="left"/>
      <w:pPr>
        <w:ind w:left="4680" w:hanging="360"/>
      </w:pPr>
    </w:lvl>
    <w:lvl w:ilvl="7" w:tplc="92240F66" w:tentative="1">
      <w:start w:val="1"/>
      <w:numFmt w:val="lowerLetter"/>
      <w:lvlText w:val="%8."/>
      <w:lvlJc w:val="left"/>
      <w:pPr>
        <w:ind w:left="5400" w:hanging="360"/>
      </w:pPr>
    </w:lvl>
    <w:lvl w:ilvl="8" w:tplc="3A3A0B24"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71F2C8EC">
      <w:start w:val="1"/>
      <w:numFmt w:val="bullet"/>
      <w:lvlText w:val=""/>
      <w:lvlJc w:val="left"/>
      <w:pPr>
        <w:ind w:left="720" w:hanging="360"/>
      </w:pPr>
      <w:rPr>
        <w:rFonts w:ascii="Symbol" w:hAnsi="Symbol"/>
      </w:rPr>
    </w:lvl>
    <w:lvl w:ilvl="1" w:tplc="C37E4A24">
      <w:start w:val="1"/>
      <w:numFmt w:val="bullet"/>
      <w:lvlText w:val="o"/>
      <w:lvlJc w:val="left"/>
      <w:pPr>
        <w:tabs>
          <w:tab w:val="num" w:pos="1440"/>
        </w:tabs>
        <w:ind w:left="1440" w:hanging="360"/>
      </w:pPr>
      <w:rPr>
        <w:rFonts w:ascii="Courier New" w:hAnsi="Courier New"/>
      </w:rPr>
    </w:lvl>
    <w:lvl w:ilvl="2" w:tplc="AD483F2C">
      <w:start w:val="1"/>
      <w:numFmt w:val="bullet"/>
      <w:lvlText w:val=""/>
      <w:lvlJc w:val="left"/>
      <w:pPr>
        <w:tabs>
          <w:tab w:val="num" w:pos="2160"/>
        </w:tabs>
        <w:ind w:left="2160" w:hanging="360"/>
      </w:pPr>
      <w:rPr>
        <w:rFonts w:ascii="Wingdings" w:hAnsi="Wingdings"/>
      </w:rPr>
    </w:lvl>
    <w:lvl w:ilvl="3" w:tplc="CD3E45FE">
      <w:start w:val="1"/>
      <w:numFmt w:val="bullet"/>
      <w:lvlText w:val=""/>
      <w:lvlJc w:val="left"/>
      <w:pPr>
        <w:tabs>
          <w:tab w:val="num" w:pos="2880"/>
        </w:tabs>
        <w:ind w:left="2880" w:hanging="360"/>
      </w:pPr>
      <w:rPr>
        <w:rFonts w:ascii="Symbol" w:hAnsi="Symbol"/>
      </w:rPr>
    </w:lvl>
    <w:lvl w:ilvl="4" w:tplc="B030C1D6">
      <w:start w:val="1"/>
      <w:numFmt w:val="bullet"/>
      <w:lvlText w:val="o"/>
      <w:lvlJc w:val="left"/>
      <w:pPr>
        <w:tabs>
          <w:tab w:val="num" w:pos="3600"/>
        </w:tabs>
        <w:ind w:left="3600" w:hanging="360"/>
      </w:pPr>
      <w:rPr>
        <w:rFonts w:ascii="Courier New" w:hAnsi="Courier New"/>
      </w:rPr>
    </w:lvl>
    <w:lvl w:ilvl="5" w:tplc="E01C1A90">
      <w:start w:val="1"/>
      <w:numFmt w:val="bullet"/>
      <w:lvlText w:val=""/>
      <w:lvlJc w:val="left"/>
      <w:pPr>
        <w:tabs>
          <w:tab w:val="num" w:pos="4320"/>
        </w:tabs>
        <w:ind w:left="4320" w:hanging="360"/>
      </w:pPr>
      <w:rPr>
        <w:rFonts w:ascii="Wingdings" w:hAnsi="Wingdings"/>
      </w:rPr>
    </w:lvl>
    <w:lvl w:ilvl="6" w:tplc="502C3522">
      <w:start w:val="1"/>
      <w:numFmt w:val="bullet"/>
      <w:lvlText w:val=""/>
      <w:lvlJc w:val="left"/>
      <w:pPr>
        <w:tabs>
          <w:tab w:val="num" w:pos="5040"/>
        </w:tabs>
        <w:ind w:left="5040" w:hanging="360"/>
      </w:pPr>
      <w:rPr>
        <w:rFonts w:ascii="Symbol" w:hAnsi="Symbol"/>
      </w:rPr>
    </w:lvl>
    <w:lvl w:ilvl="7" w:tplc="BE705C52">
      <w:start w:val="1"/>
      <w:numFmt w:val="bullet"/>
      <w:lvlText w:val="o"/>
      <w:lvlJc w:val="left"/>
      <w:pPr>
        <w:tabs>
          <w:tab w:val="num" w:pos="5760"/>
        </w:tabs>
        <w:ind w:left="5760" w:hanging="360"/>
      </w:pPr>
      <w:rPr>
        <w:rFonts w:ascii="Courier New" w:hAnsi="Courier New"/>
      </w:rPr>
    </w:lvl>
    <w:lvl w:ilvl="8" w:tplc="4C64092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3DAD"/>
    <w:rsid w:val="003C66CC"/>
    <w:rsid w:val="003E032D"/>
    <w:rsid w:val="00447EC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41F6C"/>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2B50"/>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2D6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7853"/>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KSPS@defra.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751</Words>
  <Characters>4256</Characters>
  <Application>Microsoft Office Word</Application>
  <DocSecurity>0</DocSecurity>
  <Lines>90</Lines>
  <Paragraphs>58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afcdff35-bae2-44ed-a5e3-8e46474991ae</vt:lpwstr>
  </property>
  <property fmtid="{D5CDD505-2E9C-101B-9397-08002B2CF9AE}" pid="3" name="Symbol1">
    <vt:lpwstr>G/SPS/N/GBR/14</vt:lpwstr>
  </property>
  <property fmtid="{D5CDD505-2E9C-101B-9397-08002B2CF9AE}" pid="4" name="WTOCLASSIFICATION">
    <vt:lpwstr>WTO OFFICIAL</vt:lpwstr>
  </property>
</Properties>
</file>