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7746" w14:textId="5F12C1BE" w:rsidR="00EA4725" w:rsidRPr="00441372" w:rsidRDefault="00B20673" w:rsidP="006A0EB4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6FEC" w14:paraId="5A1B3A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AD9664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6F4BA0" w14:textId="5D4CD07A" w:rsidR="00EA4725" w:rsidRPr="00441372" w:rsidRDefault="00B206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231E1E" w:rsidRPr="00231E1E">
              <w:rPr>
                <w:u w:val="single"/>
              </w:rPr>
              <w:t xml:space="preserve">THE </w:t>
            </w:r>
            <w:r w:rsidRPr="0065690F">
              <w:rPr>
                <w:u w:val="single"/>
              </w:rPr>
              <w:t>EUROPEAN UNION</w:t>
            </w:r>
            <w:bookmarkEnd w:id="1"/>
          </w:p>
          <w:p w14:paraId="4CB51609" w14:textId="77777777" w:rsidR="00EA4725" w:rsidRPr="00441372" w:rsidRDefault="00B206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66FEC" w14:paraId="2CECA9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0C153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56ABE" w14:textId="77777777" w:rsidR="00EA4725" w:rsidRPr="00441372" w:rsidRDefault="00B206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B66FEC" w14:paraId="15A7A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E9ED7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058B3" w14:textId="2B54986B" w:rsidR="00EA4725" w:rsidRPr="00441372" w:rsidRDefault="00B2067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Cereals (HS </w:t>
            </w:r>
            <w:r w:rsidR="00E61D00">
              <w:t>c</w:t>
            </w:r>
            <w:r w:rsidR="00E61D00" w:rsidRPr="0065690F">
              <w:t>odes</w:t>
            </w:r>
            <w:r w:rsidRPr="0065690F">
              <w:t xml:space="preserve">: 1001, 1002, 1003, 1004, 1005, 1006, 1007, 1008), foodstuffs of animal origin (HS </w:t>
            </w:r>
            <w:r w:rsidR="00E61D00">
              <w:t>c</w:t>
            </w:r>
            <w:r w:rsidR="00E61D00" w:rsidRPr="0065690F">
              <w:t>odes</w:t>
            </w:r>
            <w:r w:rsidRPr="0065690F">
              <w:t>: 0201, 0202, 0203, 0204, 0205, 0206, 0207, 0208, 0209, 0210) and certain products of plant origin, including fruit and vegetables</w:t>
            </w:r>
            <w:bookmarkEnd w:id="7"/>
          </w:p>
        </w:tc>
      </w:tr>
      <w:tr w:rsidR="00B66FEC" w14:paraId="2C561E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BE779" w14:textId="77777777" w:rsidR="00EA4725" w:rsidRPr="00441372" w:rsidRDefault="00B206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BFEC5" w14:textId="77777777" w:rsidR="00EA4725" w:rsidRPr="00441372" w:rsidRDefault="00B2067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C9C865" w14:textId="77777777" w:rsidR="00EA4725" w:rsidRPr="00441372" w:rsidRDefault="00B206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19BC36" w14:textId="77777777" w:rsidR="00EA4725" w:rsidRPr="00441372" w:rsidRDefault="00B206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66FEC" w14:paraId="6D7CD1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1D91A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2B254" w14:textId="77777777" w:rsidR="00EA4725" w:rsidRPr="00441372" w:rsidRDefault="00B2067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Regulation amending Annex II to Regulation (EC) No 396/2005 of the European Parliament and of the Council as regards maximum residue levels for 2,4-DB, </w:t>
            </w:r>
            <w:proofErr w:type="spellStart"/>
            <w:r w:rsidRPr="0065690F">
              <w:t>iodosulfuron</w:t>
            </w:r>
            <w:proofErr w:type="spellEnd"/>
            <w:r w:rsidRPr="0065690F">
              <w:t xml:space="preserve">-methyl,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pyraflufen</w:t>
            </w:r>
            <w:proofErr w:type="spellEnd"/>
            <w:r w:rsidRPr="0065690F">
              <w:t>-ethyl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bookmarkStart w:id="21" w:name="sps5d"/>
          <w:p w14:paraId="58003255" w14:textId="77777777" w:rsidR="00EA4725" w:rsidRPr="00441372" w:rsidRDefault="00B20673" w:rsidP="006A0EB4">
            <w:r>
              <w:fldChar w:fldCharType="begin"/>
            </w:r>
            <w:r>
              <w:instrText>HYPERLINK "https://members.wto.org/crnattachments/2023/SPS/EEC/23_12345_00_e.pdf"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https://members.wto.org/crnattachments/2023/SPS/EEC/23_12345_00_e.pdf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A97BD59" w14:textId="77777777" w:rsidR="00EA4725" w:rsidRPr="00441372" w:rsidRDefault="00E27A3A" w:rsidP="00441372">
            <w:hyperlink r:id="rId8" w:tgtFrame="_blank" w:history="1">
              <w:r w:rsidR="006A0EB4" w:rsidRPr="00441372">
                <w:rPr>
                  <w:color w:val="0000FF"/>
                  <w:u w:val="single"/>
                </w:rPr>
                <w:t>https://members.wto.org/crnattachments/2023/SPS/EEC/23_12345_01_e.pdf</w:t>
              </w:r>
            </w:hyperlink>
          </w:p>
          <w:p w14:paraId="4A47CA56" w14:textId="77777777" w:rsidR="00EA4725" w:rsidRPr="00441372" w:rsidRDefault="00E27A3A" w:rsidP="00441372">
            <w:hyperlink r:id="rId9" w:tgtFrame="_blank" w:history="1">
              <w:r w:rsidR="006A0EB4" w:rsidRPr="00441372">
                <w:rPr>
                  <w:color w:val="0000FF"/>
                  <w:u w:val="single"/>
                </w:rPr>
                <w:t>https://members.wto.org/crnattachments/2023/SPS/EEC/23_12345_02_e.pdf</w:t>
              </w:r>
            </w:hyperlink>
          </w:p>
          <w:p w14:paraId="3F2A1843" w14:textId="77777777" w:rsidR="00EA4725" w:rsidRPr="00441372" w:rsidRDefault="00E27A3A" w:rsidP="00441372">
            <w:hyperlink r:id="rId10" w:tgtFrame="_blank" w:history="1">
              <w:r w:rsidR="006A0EB4" w:rsidRPr="00441372">
                <w:rPr>
                  <w:color w:val="0000FF"/>
                  <w:u w:val="single"/>
                </w:rPr>
                <w:t>https://members.wto.org/crnattachments/2023/SPS/EEC/23_12345_03_e.pdf</w:t>
              </w:r>
            </w:hyperlink>
          </w:p>
          <w:p w14:paraId="4CF1A612" w14:textId="77777777" w:rsidR="00EA4725" w:rsidRPr="00441372" w:rsidRDefault="00E27A3A" w:rsidP="00441372">
            <w:pPr>
              <w:spacing w:after="120"/>
            </w:pPr>
            <w:hyperlink r:id="rId11" w:tgtFrame="_blank" w:history="1">
              <w:r w:rsidR="006A0EB4" w:rsidRPr="00441372">
                <w:rPr>
                  <w:color w:val="0000FF"/>
                  <w:u w:val="single"/>
                </w:rPr>
                <w:t>https://members.wto.org/crnattachments/2023/SPS/EEC/23_12345_04_e.pdf</w:t>
              </w:r>
            </w:hyperlink>
            <w:bookmarkEnd w:id="21"/>
          </w:p>
        </w:tc>
      </w:tr>
      <w:tr w:rsidR="00B66FEC" w14:paraId="7F1D3E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6BC8E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C9357" w14:textId="77777777" w:rsidR="00EA4725" w:rsidRPr="00441372" w:rsidRDefault="00B2067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proposed draft Regulation concerns the update of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2,4-DB, </w:t>
            </w:r>
            <w:proofErr w:type="spellStart"/>
            <w:r w:rsidRPr="0065690F">
              <w:t>iodosulfuron</w:t>
            </w:r>
            <w:proofErr w:type="spellEnd"/>
            <w:r w:rsidRPr="0065690F">
              <w:t xml:space="preserve">-methyl,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pyraflufen</w:t>
            </w:r>
            <w:proofErr w:type="spellEnd"/>
            <w:r w:rsidRPr="0065690F">
              <w:t>-ethyl in certain food products following the evaluation and/or the lack of confirmatory data.</w:t>
            </w:r>
            <w:bookmarkEnd w:id="23"/>
          </w:p>
        </w:tc>
      </w:tr>
      <w:tr w:rsidR="00B66FEC" w14:paraId="68AD10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03D22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0D67" w14:textId="77777777" w:rsidR="00EA4725" w:rsidRPr="00441372" w:rsidRDefault="00B2067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66FEC" w14:paraId="4BA6F0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5F777" w14:textId="77777777" w:rsidR="00EA4725" w:rsidRPr="00441372" w:rsidRDefault="00B206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3663F" w14:textId="77777777" w:rsidR="00EA4725" w:rsidRPr="00441372" w:rsidRDefault="00B2067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766CCE" w14:textId="1EAA935F" w:rsidR="00EA4725" w:rsidRPr="00441372" w:rsidRDefault="00B206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Codex Maximum Residue Limits for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 in some commodities.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 is available at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https://www.fao.org/fao-who-codexalimentarius/codex-texts/dbs/pestres/pesticides/en/</w:t>
              </w:r>
            </w:hyperlink>
            <w:bookmarkEnd w:id="39"/>
            <w:r w:rsidR="00065E34" w:rsidRPr="00441372">
              <w:rPr>
                <w:bCs/>
              </w:rPr>
              <w:t>.</w:t>
            </w:r>
          </w:p>
          <w:p w14:paraId="22390696" w14:textId="77777777" w:rsidR="00EA4725" w:rsidRPr="00441372" w:rsidRDefault="00B206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BE639D" w14:textId="77777777" w:rsidR="00EA4725" w:rsidRPr="00441372" w:rsidRDefault="00B206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3003D94" w14:textId="77777777" w:rsidR="00EA4725" w:rsidRPr="00441372" w:rsidRDefault="00B206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470B71" w14:textId="77777777" w:rsidR="00EA4725" w:rsidRPr="00441372" w:rsidRDefault="00B20673" w:rsidP="006A0EB4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8EC7A0" w14:textId="77777777" w:rsidR="00EA4725" w:rsidRPr="00441372" w:rsidRDefault="00B20673" w:rsidP="00065E34">
            <w:pPr>
              <w:keepNext/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8D37EB" w14:textId="77777777" w:rsidR="00EA4725" w:rsidRPr="00441372" w:rsidRDefault="00B20673" w:rsidP="006A0EB4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66FEC" w14:paraId="6214B1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EF566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2AF59" w14:textId="77777777" w:rsidR="008168D5" w:rsidRDefault="00B20673" w:rsidP="00065E3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BF921F1" w14:textId="636CBA44" w:rsidR="00EA4725" w:rsidRPr="00441372" w:rsidRDefault="00B20673" w:rsidP="00065E34">
            <w:pPr>
              <w:numPr>
                <w:ilvl w:val="0"/>
                <w:numId w:val="16"/>
              </w:numPr>
              <w:ind w:left="357" w:hanging="357"/>
            </w:pPr>
            <w:r w:rsidRPr="0065690F">
              <w:t>Regulation (EC) No 396/2005 of the European Parliament and of the Council of 23</w:t>
            </w:r>
            <w:r>
              <w:t> </w:t>
            </w:r>
            <w:r w:rsidRPr="0065690F">
              <w:t>February 2005 on maximum residue levels of pesticides in or on food and feed of plant and animal origin and amending Council Directive 91/414/EEC:</w:t>
            </w:r>
            <w:r>
              <w:t> </w:t>
            </w:r>
            <w:hyperlink r:id="rId13" w:history="1">
              <w:r w:rsidRPr="0065690F">
                <w:rPr>
                  <w:color w:val="0000FF"/>
                  <w:u w:val="single"/>
                </w:rPr>
                <w:t>https://eur-lex.europa.eu/legal-content/en/ALL/?uri=CELEX%3A32005R0396</w:t>
              </w:r>
            </w:hyperlink>
          </w:p>
          <w:p w14:paraId="3B82D8EC" w14:textId="20A8831D" w:rsidR="008168D5" w:rsidRPr="001A14A5" w:rsidRDefault="00B20673" w:rsidP="00065E3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Lack of confirmatory data following Article 12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reviews for 2,4</w:t>
            </w:r>
            <w:r w:rsidRPr="0065690F">
              <w:rPr>
                <w:rFonts w:ascii="Cambria Math" w:eastAsia="Cambria Math" w:hAnsi="Cambria Math" w:cs="Cambria Math"/>
              </w:rPr>
              <w:t>‐</w:t>
            </w:r>
            <w:r w:rsidRPr="0065690F">
              <w:t xml:space="preserve">DB, </w:t>
            </w:r>
            <w:proofErr w:type="spellStart"/>
            <w:r w:rsidRPr="0065690F">
              <w:t>iodosulfuron</w:t>
            </w:r>
            <w:proofErr w:type="spellEnd"/>
            <w:r w:rsidRPr="0065690F">
              <w:rPr>
                <w:rFonts w:ascii="Cambria Math" w:eastAsia="Cambria Math" w:hAnsi="Cambria Math" w:cs="Cambria Math"/>
              </w:rPr>
              <w:t>‐</w:t>
            </w:r>
            <w:r w:rsidRPr="0065690F">
              <w:t>methyl, mesotrione,</w:t>
            </w:r>
            <w:r>
              <w:t> </w:t>
            </w:r>
            <w:r w:rsidRPr="0065690F">
              <w:t>methoxyfenozide</w:t>
            </w:r>
            <w:r>
              <w:t> </w:t>
            </w:r>
            <w:r w:rsidRPr="0065690F">
              <w:t>and</w:t>
            </w:r>
            <w:r>
              <w:t> </w:t>
            </w:r>
            <w:r w:rsidRPr="0065690F">
              <w:t>pyraflufen</w:t>
            </w:r>
            <w:r w:rsidRPr="0065690F">
              <w:rPr>
                <w:rFonts w:ascii="Cambria Math" w:eastAsia="Cambria Math" w:hAnsi="Cambria Math" w:cs="Cambria Math"/>
              </w:rPr>
              <w:t>‐</w:t>
            </w:r>
            <w:r w:rsidRPr="0065690F">
              <w:t>ethyl:</w:t>
            </w:r>
            <w:r>
              <w:t> </w:t>
            </w:r>
            <w:hyperlink r:id="rId14" w:history="1">
              <w:r w:rsidRPr="0065690F">
                <w:rPr>
                  <w:color w:val="0000FF"/>
                  <w:u w:val="single"/>
                </w:rPr>
                <w:t>https://www.efsa.europa.eu/en/efsajournal/pub/8013</w:t>
              </w:r>
            </w:hyperlink>
            <w:bookmarkStart w:id="57" w:name="sps9b"/>
            <w:bookmarkEnd w:id="56"/>
          </w:p>
          <w:p w14:paraId="29A60B85" w14:textId="04D35C26" w:rsidR="00650E94" w:rsidRPr="0065690F" w:rsidRDefault="00B20673" w:rsidP="00BC687B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66FEC" w14:paraId="675C3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5E00F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19071" w14:textId="3C4B965E" w:rsidR="00EA4725" w:rsidRPr="00441372" w:rsidRDefault="00B2067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March 2024</w:t>
            </w:r>
            <w:bookmarkEnd w:id="59"/>
          </w:p>
          <w:p w14:paraId="562F1598" w14:textId="3AD45A48" w:rsidR="00EA4725" w:rsidRPr="00441372" w:rsidRDefault="00B2067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March 2024</w:t>
            </w:r>
            <w:bookmarkEnd w:id="61"/>
          </w:p>
        </w:tc>
      </w:tr>
      <w:tr w:rsidR="00B66FEC" w14:paraId="1AA1F0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138B3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90F21" w14:textId="0A61933D" w:rsidR="00EA4725" w:rsidRPr="00441372" w:rsidRDefault="00B2067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shall enter into force on the 20</w:t>
            </w:r>
            <w:r w:rsidRPr="00065E34">
              <w:rPr>
                <w:vertAlign w:val="superscript"/>
              </w:rPr>
              <w:t>th</w:t>
            </w:r>
            <w:r w:rsidRPr="0065690F">
              <w:t xml:space="preserve"> day following its publication in the Official Journal of the European Union, and apply six months thereafter.</w:t>
            </w:r>
            <w:bookmarkEnd w:id="65"/>
          </w:p>
          <w:p w14:paraId="3AA6589A" w14:textId="77777777" w:rsidR="00EA4725" w:rsidRPr="00441372" w:rsidRDefault="00B206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66FEC" w:rsidRPr="00E27A3A" w14:paraId="4CFB45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B8F96" w14:textId="77777777" w:rsidR="00EA4725" w:rsidRPr="00441372" w:rsidRDefault="00B206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4561" w14:textId="77777777" w:rsidR="00EA4725" w:rsidRPr="00441372" w:rsidRDefault="00B2067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November 2023</w:t>
            </w:r>
            <w:bookmarkEnd w:id="72"/>
          </w:p>
          <w:p w14:paraId="75429CE9" w14:textId="77777777" w:rsidR="00EA4725" w:rsidRPr="00441372" w:rsidRDefault="00B2067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78A8E75" w14:textId="77777777" w:rsidR="00650E94" w:rsidRPr="0065690F" w:rsidRDefault="00B20673" w:rsidP="00441372">
            <w:r w:rsidRPr="0065690F">
              <w:t>European Commission</w:t>
            </w:r>
          </w:p>
          <w:p w14:paraId="3987E310" w14:textId="77777777" w:rsidR="00650E94" w:rsidRPr="0065690F" w:rsidRDefault="00B20673" w:rsidP="00441372">
            <w:r w:rsidRPr="0065690F">
              <w:t>DG Health and Food Safety, Unit A4-Multilateral International Relations</w:t>
            </w:r>
          </w:p>
          <w:p w14:paraId="2D1EBE5F" w14:textId="77777777" w:rsidR="00650E94" w:rsidRPr="006A0EB4" w:rsidRDefault="00B20673" w:rsidP="00441372">
            <w:pPr>
              <w:rPr>
                <w:lang w:val="fr-CH"/>
              </w:rPr>
            </w:pPr>
            <w:r w:rsidRPr="006A0EB4">
              <w:rPr>
                <w:lang w:val="fr-CH"/>
              </w:rPr>
              <w:t>Rue Froissart 101</w:t>
            </w:r>
          </w:p>
          <w:p w14:paraId="0F7A0906" w14:textId="77777777" w:rsidR="00650E94" w:rsidRPr="006A0EB4" w:rsidRDefault="00B20673" w:rsidP="00441372">
            <w:pPr>
              <w:rPr>
                <w:lang w:val="fr-CH"/>
              </w:rPr>
            </w:pPr>
            <w:r w:rsidRPr="006A0EB4">
              <w:rPr>
                <w:lang w:val="fr-CH"/>
              </w:rPr>
              <w:t>B-1049 Brussels</w:t>
            </w:r>
          </w:p>
          <w:p w14:paraId="57B8DBBB" w14:textId="77777777" w:rsidR="00650E94" w:rsidRPr="006A0EB4" w:rsidRDefault="00B20673" w:rsidP="00441372">
            <w:pPr>
              <w:rPr>
                <w:lang w:val="fr-CH"/>
              </w:rPr>
            </w:pPr>
            <w:r w:rsidRPr="006A0EB4">
              <w:rPr>
                <w:lang w:val="fr-CH"/>
              </w:rPr>
              <w:t>Tel: +(32 2) 29 54263</w:t>
            </w:r>
          </w:p>
          <w:p w14:paraId="69D289BF" w14:textId="77777777" w:rsidR="00650E94" w:rsidRPr="00B20673" w:rsidRDefault="00B20673" w:rsidP="00441372">
            <w:pPr>
              <w:spacing w:after="120"/>
              <w:rPr>
                <w:lang w:val="pt-PT"/>
              </w:rPr>
            </w:pPr>
            <w:r w:rsidRPr="00B20673">
              <w:rPr>
                <w:lang w:val="pt-PT"/>
              </w:rPr>
              <w:t xml:space="preserve">E-mail: </w:t>
            </w:r>
            <w:hyperlink r:id="rId15" w:history="1">
              <w:r w:rsidRPr="00B20673">
                <w:rPr>
                  <w:color w:val="0000FF"/>
                  <w:u w:val="single"/>
                  <w:lang w:val="pt-PT"/>
                </w:rPr>
                <w:t>sps@ec.europa.eu</w:t>
              </w:r>
            </w:hyperlink>
            <w:bookmarkEnd w:id="79"/>
          </w:p>
        </w:tc>
      </w:tr>
      <w:tr w:rsidR="00B66FEC" w:rsidRPr="00E27A3A" w14:paraId="72DDD6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949CF9" w14:textId="77777777" w:rsidR="00EA4725" w:rsidRPr="00441372" w:rsidRDefault="00B206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56DE78" w14:textId="77777777" w:rsidR="00EA4725" w:rsidRPr="00441372" w:rsidRDefault="00B2067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DA1452F" w14:textId="77777777" w:rsidR="00EA4725" w:rsidRPr="0065690F" w:rsidRDefault="00B206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EE800A1" w14:textId="77777777" w:rsidR="00EA4725" w:rsidRPr="0065690F" w:rsidRDefault="00B206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656CF12F" w14:textId="77777777" w:rsidR="00EA4725" w:rsidRPr="006A0EB4" w:rsidRDefault="00B20673" w:rsidP="00F3021D">
            <w:pPr>
              <w:keepNext/>
              <w:keepLines/>
              <w:rPr>
                <w:bCs/>
                <w:lang w:val="fr-CH"/>
              </w:rPr>
            </w:pPr>
            <w:r w:rsidRPr="006A0EB4">
              <w:rPr>
                <w:bCs/>
                <w:lang w:val="fr-CH"/>
              </w:rPr>
              <w:t>Rue Froissart 101</w:t>
            </w:r>
          </w:p>
          <w:p w14:paraId="1F6D89F8" w14:textId="77777777" w:rsidR="00EA4725" w:rsidRPr="006A0EB4" w:rsidRDefault="00B20673" w:rsidP="00F3021D">
            <w:pPr>
              <w:keepNext/>
              <w:keepLines/>
              <w:rPr>
                <w:bCs/>
                <w:lang w:val="fr-CH"/>
              </w:rPr>
            </w:pPr>
            <w:r w:rsidRPr="006A0EB4">
              <w:rPr>
                <w:bCs/>
                <w:lang w:val="fr-CH"/>
              </w:rPr>
              <w:t>B-1049 Brussels</w:t>
            </w:r>
          </w:p>
          <w:p w14:paraId="4852A62A" w14:textId="77777777" w:rsidR="00EA4725" w:rsidRPr="006A0EB4" w:rsidRDefault="00B20673" w:rsidP="00F3021D">
            <w:pPr>
              <w:keepNext/>
              <w:keepLines/>
              <w:rPr>
                <w:bCs/>
                <w:lang w:val="fr-CH"/>
              </w:rPr>
            </w:pPr>
            <w:r w:rsidRPr="006A0EB4">
              <w:rPr>
                <w:bCs/>
                <w:lang w:val="fr-CH"/>
              </w:rPr>
              <w:t>Tel: +(32 2) 29 54263</w:t>
            </w:r>
          </w:p>
          <w:p w14:paraId="25BD8681" w14:textId="77777777" w:rsidR="00EA4725" w:rsidRPr="00B20673" w:rsidRDefault="00B20673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B20673">
              <w:rPr>
                <w:bCs/>
                <w:lang w:val="pt-PT"/>
              </w:rPr>
              <w:t xml:space="preserve">E-mail: </w:t>
            </w:r>
            <w:hyperlink r:id="rId16" w:history="1">
              <w:r w:rsidRPr="00B20673">
                <w:rPr>
                  <w:bCs/>
                  <w:color w:val="0000FF"/>
                  <w:u w:val="single"/>
                  <w:lang w:val="pt-PT"/>
                </w:rPr>
                <w:t>sps@ec.europa.eu</w:t>
              </w:r>
            </w:hyperlink>
            <w:bookmarkEnd w:id="86"/>
          </w:p>
        </w:tc>
      </w:tr>
    </w:tbl>
    <w:p w14:paraId="4371822F" w14:textId="77777777" w:rsidR="007141CF" w:rsidRPr="00B20673" w:rsidRDefault="007141CF" w:rsidP="00441372">
      <w:pPr>
        <w:rPr>
          <w:lang w:val="pt-PT"/>
        </w:rPr>
      </w:pPr>
    </w:p>
    <w:sectPr w:rsidR="007141CF" w:rsidRPr="00B20673" w:rsidSect="006A0E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2F42" w14:textId="77777777" w:rsidR="00410B9A" w:rsidRDefault="00B20673">
      <w:r>
        <w:separator/>
      </w:r>
    </w:p>
  </w:endnote>
  <w:endnote w:type="continuationSeparator" w:id="0">
    <w:p w14:paraId="15B5CC46" w14:textId="77777777" w:rsidR="00410B9A" w:rsidRDefault="00B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E019" w14:textId="507236A7" w:rsidR="00EA4725" w:rsidRPr="006A0EB4" w:rsidRDefault="00B20673" w:rsidP="006A0E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1279" w14:textId="3F3D93A4" w:rsidR="00EA4725" w:rsidRPr="006A0EB4" w:rsidRDefault="00B20673" w:rsidP="006A0E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B221" w14:textId="4F92ECB4" w:rsidR="00C863EB" w:rsidRPr="00441372" w:rsidRDefault="00B2067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A309" w14:textId="77777777" w:rsidR="00410B9A" w:rsidRDefault="00B20673">
      <w:r>
        <w:separator/>
      </w:r>
    </w:p>
  </w:footnote>
  <w:footnote w:type="continuationSeparator" w:id="0">
    <w:p w14:paraId="6E94548A" w14:textId="77777777" w:rsidR="00410B9A" w:rsidRDefault="00B2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B739" w14:textId="77777777" w:rsidR="006A0EB4" w:rsidRPr="006A0EB4" w:rsidRDefault="00B20673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EB4">
      <w:t>G/SPS/N/EU/678</w:t>
    </w:r>
  </w:p>
  <w:p w14:paraId="6990574A" w14:textId="77777777" w:rsidR="006A0EB4" w:rsidRPr="006A0EB4" w:rsidRDefault="006A0EB4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0CA12E" w14:textId="2970DB0D" w:rsidR="006A0EB4" w:rsidRPr="006A0EB4" w:rsidRDefault="00B20673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EB4">
      <w:t xml:space="preserve">- </w:t>
    </w:r>
    <w:r w:rsidRPr="006A0EB4">
      <w:fldChar w:fldCharType="begin"/>
    </w:r>
    <w:r w:rsidRPr="006A0EB4">
      <w:instrText xml:space="preserve"> PAGE </w:instrText>
    </w:r>
    <w:r w:rsidRPr="006A0EB4">
      <w:fldChar w:fldCharType="separate"/>
    </w:r>
    <w:r w:rsidRPr="006A0EB4">
      <w:rPr>
        <w:noProof/>
      </w:rPr>
      <w:t>2</w:t>
    </w:r>
    <w:r w:rsidRPr="006A0EB4">
      <w:fldChar w:fldCharType="end"/>
    </w:r>
    <w:r w:rsidRPr="006A0EB4">
      <w:t xml:space="preserve"> -</w:t>
    </w:r>
  </w:p>
  <w:p w14:paraId="45397AED" w14:textId="33FB6D0A" w:rsidR="00EA4725" w:rsidRPr="006A0EB4" w:rsidRDefault="00EA4725" w:rsidP="006A0E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0BAB" w14:textId="77777777" w:rsidR="006A0EB4" w:rsidRPr="006A0EB4" w:rsidRDefault="00B20673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EB4">
      <w:t>G/SPS/N/EU/678</w:t>
    </w:r>
  </w:p>
  <w:p w14:paraId="78A5642D" w14:textId="77777777" w:rsidR="006A0EB4" w:rsidRPr="006A0EB4" w:rsidRDefault="006A0EB4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2E160F" w14:textId="6DB29FB2" w:rsidR="006A0EB4" w:rsidRPr="006A0EB4" w:rsidRDefault="00B20673" w:rsidP="006A0E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EB4">
      <w:t xml:space="preserve">- </w:t>
    </w:r>
    <w:r w:rsidRPr="006A0EB4">
      <w:fldChar w:fldCharType="begin"/>
    </w:r>
    <w:r w:rsidRPr="006A0EB4">
      <w:instrText xml:space="preserve"> PAGE </w:instrText>
    </w:r>
    <w:r w:rsidRPr="006A0EB4">
      <w:fldChar w:fldCharType="separate"/>
    </w:r>
    <w:r w:rsidRPr="006A0EB4">
      <w:rPr>
        <w:noProof/>
      </w:rPr>
      <w:t>2</w:t>
    </w:r>
    <w:r w:rsidRPr="006A0EB4">
      <w:fldChar w:fldCharType="end"/>
    </w:r>
    <w:r w:rsidRPr="006A0EB4">
      <w:t xml:space="preserve"> -</w:t>
    </w:r>
  </w:p>
  <w:p w14:paraId="6A9285BA" w14:textId="528F8796" w:rsidR="00EA4725" w:rsidRPr="006A0EB4" w:rsidRDefault="00EA4725" w:rsidP="006A0E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6FEC" w14:paraId="3FF4AFA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5C24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8557E" w14:textId="7A677DC8" w:rsidR="00ED54E0" w:rsidRPr="00EA4725" w:rsidRDefault="00B206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66FEC" w14:paraId="4F82CF7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032F53" w14:textId="77777777" w:rsidR="00ED54E0" w:rsidRPr="00EA4725" w:rsidRDefault="00E27A3A" w:rsidP="00422B6F">
          <w:pPr>
            <w:jc w:val="left"/>
          </w:pPr>
          <w:r>
            <w:rPr>
              <w:lang w:eastAsia="en-GB"/>
            </w:rPr>
            <w:pict w14:anchorId="12B52C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3B49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6FEC" w14:paraId="1516339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5CF4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D8A346" w14:textId="77777777" w:rsidR="006A0EB4" w:rsidRDefault="00B2067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G/SPS/N/EU/678</w:t>
          </w:r>
          <w:bookmarkEnd w:id="88"/>
        </w:p>
      </w:tc>
    </w:tr>
    <w:tr w:rsidR="00B66FEC" w14:paraId="4F3CD2A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5EC6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0B8011" w14:textId="77777777" w:rsidR="00ED54E0" w:rsidRPr="00EA4725" w:rsidRDefault="00B2067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September 2023</w:t>
          </w:r>
          <w:bookmarkEnd w:id="90"/>
        </w:p>
      </w:tc>
    </w:tr>
    <w:tr w:rsidR="00B66FEC" w14:paraId="687405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6B5A7D" w14:textId="25312FC7" w:rsidR="00ED54E0" w:rsidRPr="00EA4725" w:rsidRDefault="00B2067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638E4">
            <w:rPr>
              <w:color w:val="FF0000"/>
              <w:szCs w:val="16"/>
            </w:rPr>
            <w:t>3724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7B623A" w14:textId="77777777" w:rsidR="00ED54E0" w:rsidRPr="00EA4725" w:rsidRDefault="00B2067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66FEC" w14:paraId="0C1F66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0186A2" w14:textId="23070C08" w:rsidR="00ED54E0" w:rsidRPr="00EA4725" w:rsidRDefault="00B2067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96D2BD" w14:textId="62627F07" w:rsidR="00ED54E0" w:rsidRPr="00441372" w:rsidRDefault="00B2067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BED8F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714E29"/>
    <w:multiLevelType w:val="hybridMultilevel"/>
    <w:tmpl w:val="7EE6D002"/>
    <w:lvl w:ilvl="0" w:tplc="74AC6C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120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ED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A3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62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4C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E4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EA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24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396FD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3A6188" w:tentative="1">
      <w:start w:val="1"/>
      <w:numFmt w:val="lowerLetter"/>
      <w:lvlText w:val="%2."/>
      <w:lvlJc w:val="left"/>
      <w:pPr>
        <w:ind w:left="1080" w:hanging="360"/>
      </w:pPr>
    </w:lvl>
    <w:lvl w:ilvl="2" w:tplc="34D2E63A" w:tentative="1">
      <w:start w:val="1"/>
      <w:numFmt w:val="lowerRoman"/>
      <w:lvlText w:val="%3."/>
      <w:lvlJc w:val="right"/>
      <w:pPr>
        <w:ind w:left="1800" w:hanging="180"/>
      </w:pPr>
    </w:lvl>
    <w:lvl w:ilvl="3" w:tplc="CDE679FA" w:tentative="1">
      <w:start w:val="1"/>
      <w:numFmt w:val="decimal"/>
      <w:lvlText w:val="%4."/>
      <w:lvlJc w:val="left"/>
      <w:pPr>
        <w:ind w:left="2520" w:hanging="360"/>
      </w:pPr>
    </w:lvl>
    <w:lvl w:ilvl="4" w:tplc="E3E42F4A" w:tentative="1">
      <w:start w:val="1"/>
      <w:numFmt w:val="lowerLetter"/>
      <w:lvlText w:val="%5."/>
      <w:lvlJc w:val="left"/>
      <w:pPr>
        <w:ind w:left="3240" w:hanging="360"/>
      </w:pPr>
    </w:lvl>
    <w:lvl w:ilvl="5" w:tplc="97144D4A" w:tentative="1">
      <w:start w:val="1"/>
      <w:numFmt w:val="lowerRoman"/>
      <w:lvlText w:val="%6."/>
      <w:lvlJc w:val="right"/>
      <w:pPr>
        <w:ind w:left="3960" w:hanging="180"/>
      </w:pPr>
    </w:lvl>
    <w:lvl w:ilvl="6" w:tplc="6E2292F2" w:tentative="1">
      <w:start w:val="1"/>
      <w:numFmt w:val="decimal"/>
      <w:lvlText w:val="%7."/>
      <w:lvlJc w:val="left"/>
      <w:pPr>
        <w:ind w:left="4680" w:hanging="360"/>
      </w:pPr>
    </w:lvl>
    <w:lvl w:ilvl="7" w:tplc="BA422DEE" w:tentative="1">
      <w:start w:val="1"/>
      <w:numFmt w:val="lowerLetter"/>
      <w:lvlText w:val="%8."/>
      <w:lvlJc w:val="left"/>
      <w:pPr>
        <w:ind w:left="5400" w:hanging="360"/>
      </w:pPr>
    </w:lvl>
    <w:lvl w:ilvl="8" w:tplc="6812F7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955338">
    <w:abstractNumId w:val="9"/>
  </w:num>
  <w:num w:numId="2" w16cid:durableId="1376857142">
    <w:abstractNumId w:val="7"/>
  </w:num>
  <w:num w:numId="3" w16cid:durableId="996156032">
    <w:abstractNumId w:val="6"/>
  </w:num>
  <w:num w:numId="4" w16cid:durableId="200018767">
    <w:abstractNumId w:val="5"/>
  </w:num>
  <w:num w:numId="5" w16cid:durableId="953902053">
    <w:abstractNumId w:val="4"/>
  </w:num>
  <w:num w:numId="6" w16cid:durableId="1608346346">
    <w:abstractNumId w:val="12"/>
  </w:num>
  <w:num w:numId="7" w16cid:durableId="1853452123">
    <w:abstractNumId w:val="11"/>
  </w:num>
  <w:num w:numId="8" w16cid:durableId="1770349912">
    <w:abstractNumId w:val="10"/>
  </w:num>
  <w:num w:numId="9" w16cid:durableId="1195734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891578">
    <w:abstractNumId w:val="14"/>
  </w:num>
  <w:num w:numId="11" w16cid:durableId="589236195">
    <w:abstractNumId w:val="8"/>
  </w:num>
  <w:num w:numId="12" w16cid:durableId="579414233">
    <w:abstractNumId w:val="3"/>
  </w:num>
  <w:num w:numId="13" w16cid:durableId="1064185004">
    <w:abstractNumId w:val="2"/>
  </w:num>
  <w:num w:numId="14" w16cid:durableId="2036037367">
    <w:abstractNumId w:val="1"/>
  </w:num>
  <w:num w:numId="15" w16cid:durableId="824932538">
    <w:abstractNumId w:val="0"/>
  </w:num>
  <w:num w:numId="16" w16cid:durableId="343476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5E3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14A5"/>
    <w:rsid w:val="001E291F"/>
    <w:rsid w:val="001E596A"/>
    <w:rsid w:val="00231E1E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0B9A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0E94"/>
    <w:rsid w:val="0065690F"/>
    <w:rsid w:val="00656ABC"/>
    <w:rsid w:val="00674CCD"/>
    <w:rsid w:val="006A0EB4"/>
    <w:rsid w:val="006B4BC2"/>
    <w:rsid w:val="006F1601"/>
    <w:rsid w:val="006F2C00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8D5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1484"/>
    <w:rsid w:val="00AC27F8"/>
    <w:rsid w:val="00AD4C72"/>
    <w:rsid w:val="00AE057B"/>
    <w:rsid w:val="00AE2AEE"/>
    <w:rsid w:val="00B00276"/>
    <w:rsid w:val="00B20673"/>
    <w:rsid w:val="00B230EC"/>
    <w:rsid w:val="00B367FB"/>
    <w:rsid w:val="00B52738"/>
    <w:rsid w:val="00B56EDC"/>
    <w:rsid w:val="00B638E4"/>
    <w:rsid w:val="00B66FEC"/>
    <w:rsid w:val="00B94A75"/>
    <w:rsid w:val="00BB1F84"/>
    <w:rsid w:val="00BC035A"/>
    <w:rsid w:val="00BC687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7A3A"/>
    <w:rsid w:val="00E46FD5"/>
    <w:rsid w:val="00E544BB"/>
    <w:rsid w:val="00E56545"/>
    <w:rsid w:val="00E61D00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094C"/>
  <w15:docId w15:val="{82FDC9D6-4F82-40DE-9DE7-02C95B5A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E61D00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2345_01_e.pdf" TargetMode="External"/><Relationship Id="rId13" Type="http://schemas.openxmlformats.org/officeDocument/2006/relationships/hyperlink" Target="https://eur-lex.europa.eu/legal-content/en/ALL/?uri=CELEX%3A32005R039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o.org/fao-who-codexalimentarius/codex-texts/dbs/pestres/pesticides/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ps@ec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SPS/EEC/23_12345_04_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ps@ec.europ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3/SPS/EEC/23_12345_03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2345_02_e.pdf" TargetMode="External"/><Relationship Id="rId14" Type="http://schemas.openxmlformats.org/officeDocument/2006/relationships/hyperlink" Target="https://www.efsa.europa.eu/en/efsajournal/pub/8013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298da1b7-6999-47d7-b64c-920592ce15af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CF0FC7E-D277-4817-8DB6-045E0FDD28B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19</cp:revision>
  <dcterms:created xsi:type="dcterms:W3CDTF">2017-07-03T11:19:00Z</dcterms:created>
  <dcterms:modified xsi:type="dcterms:W3CDTF">2023-09-13T13:41:00Z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G/SPS/N/EU/678</vt:lpwstr>
  </property>
  <property fmtid="{D5CDD505-2E9C-101B-9397-08002B2CF9AE}" pid="3" name="TitusGUID">
    <vt:lpwstr>298da1b7-6999-47d7-b64c-920592ce15af</vt:lpwstr>
  </property>
  <property fmtid="{D5CDD505-2E9C-101B-9397-08002B2CF9AE}" pid="4" name="WTOCLASSIFICATION">
    <vt:lpwstr>WTO OFFICIAL</vt:lpwstr>
  </property>
</Properties>
</file>