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C35E" w14:textId="77777777" w:rsidR="00EA4725" w:rsidRPr="00441372" w:rsidRDefault="00A257F1" w:rsidP="000C35F7">
      <w:pPr>
        <w:pStyle w:val="Titl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70D64" w14:paraId="0BA34C2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378F4B2" w14:textId="77777777" w:rsidR="00EA4725" w:rsidRPr="00441372" w:rsidRDefault="00A257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2501AC4" w14:textId="77777777" w:rsidR="00EA4725" w:rsidRPr="00441372" w:rsidRDefault="00A257F1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EUROPEAN UNION</w:t>
            </w:r>
            <w:bookmarkEnd w:id="1"/>
          </w:p>
          <w:p w14:paraId="061FC3B3" w14:textId="77777777" w:rsidR="00EA4725" w:rsidRPr="00441372" w:rsidRDefault="00A257F1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70D64" w14:paraId="5195281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AC0D8B" w14:textId="77777777" w:rsidR="00EA4725" w:rsidRPr="00441372" w:rsidRDefault="00A257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903D86" w14:textId="77777777" w:rsidR="00EA4725" w:rsidRPr="00441372" w:rsidRDefault="00A257F1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European Commission, Health and Food Safety Directorate-General</w:t>
            </w:r>
            <w:bookmarkEnd w:id="5"/>
          </w:p>
        </w:tc>
      </w:tr>
      <w:tr w:rsidR="00D70D64" w14:paraId="5FF6D60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2F5E68" w14:textId="77777777" w:rsidR="00EA4725" w:rsidRPr="00441372" w:rsidRDefault="00A257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459F23" w14:textId="77777777" w:rsidR="00EA4725" w:rsidRPr="00441372" w:rsidRDefault="00A257F1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proofErr w:type="spellStart"/>
            <w:r w:rsidRPr="0065690F">
              <w:t>Clofentezine</w:t>
            </w:r>
            <w:proofErr w:type="spellEnd"/>
            <w:r w:rsidRPr="0065690F">
              <w:t xml:space="preserve"> (pesticide active substance)</w:t>
            </w:r>
            <w:bookmarkEnd w:id="7"/>
          </w:p>
        </w:tc>
      </w:tr>
      <w:tr w:rsidR="00D70D64" w14:paraId="591628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7CF1D5" w14:textId="77777777" w:rsidR="00EA4725" w:rsidRPr="00441372" w:rsidRDefault="00A257F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562976" w14:textId="77777777" w:rsidR="00EA4725" w:rsidRPr="00441372" w:rsidRDefault="00A257F1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3B81465F" w14:textId="77777777" w:rsidR="00EA4725" w:rsidRPr="00441372" w:rsidRDefault="00A257F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69756E52" w14:textId="77777777" w:rsidR="00EA4725" w:rsidRPr="00441372" w:rsidRDefault="00A257F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70D64" w14:paraId="7614BDD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184DAF" w14:textId="77777777" w:rsidR="00EA4725" w:rsidRPr="00441372" w:rsidRDefault="00A257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6905BF" w14:textId="77777777" w:rsidR="00EA4725" w:rsidRPr="00441372" w:rsidRDefault="00A257F1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 xml:space="preserve">Draft Commission Implementing Regulation concerning the non-renewal of approval of the active substance </w:t>
            </w:r>
            <w:proofErr w:type="spellStart"/>
            <w:r w:rsidRPr="0065690F">
              <w:t>clofentezine</w:t>
            </w:r>
            <w:proofErr w:type="spellEnd"/>
            <w:r w:rsidRPr="0065690F">
              <w:t>, in accordance with Regulation (EC) No 1107/2009 of the European Parliament and of the Council and amending Commission Implementing Regulation (EU) No 540/2011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  <w:bookmarkStart w:id="21" w:name="sps5d"/>
          <w:p w14:paraId="0D0E3BB1" w14:textId="77777777" w:rsidR="00EA4725" w:rsidRPr="00441372" w:rsidRDefault="00A257F1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"https://members.wto.org/crnattachments/2023/SPS/EEC/23_11175_00_e.pdf"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https://members.wto.org/crnattachments/2023/SPS/EEC/23_11175_00_e.pdf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D70D64" w14:paraId="143C1A2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C367A1" w14:textId="77777777" w:rsidR="00EA4725" w:rsidRPr="00441372" w:rsidRDefault="00A257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6B3779" w14:textId="77777777" w:rsidR="00EA4725" w:rsidRPr="00441372" w:rsidRDefault="00A257F1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draft Commission Implementing Regulation provides that the approval of the active substance </w:t>
            </w:r>
            <w:proofErr w:type="spellStart"/>
            <w:r w:rsidRPr="0065690F">
              <w:t>clofentezine</w:t>
            </w:r>
            <w:proofErr w:type="spellEnd"/>
            <w:r w:rsidRPr="0065690F">
              <w:t xml:space="preserve"> is not renewed in accordance with Regulation (EC) No 1107/2009. Member States shall withdraw authorisations for plant protection products containing </w:t>
            </w:r>
            <w:proofErr w:type="spellStart"/>
            <w:r w:rsidRPr="0065690F">
              <w:t>clofentezine</w:t>
            </w:r>
            <w:proofErr w:type="spellEnd"/>
            <w:r w:rsidRPr="0065690F">
              <w:t xml:space="preserve"> as an active substance. The non-renewal of approval is based on the first evaluation of the substance for use as a pesticide active substance in the European Union under Regulation (EC) No 1107/2009. The substance was formerly assessed and approved under Directive 91/414/ EEC.</w:t>
            </w:r>
          </w:p>
          <w:p w14:paraId="573BE855" w14:textId="77777777" w:rsidR="00BC6FB0" w:rsidRPr="0065690F" w:rsidRDefault="00A257F1" w:rsidP="00441372">
            <w:pPr>
              <w:spacing w:before="120" w:after="120"/>
            </w:pPr>
            <w:r w:rsidRPr="0065690F">
              <w:t xml:space="preserve">This decision only concerns the placing on the market of this substance and plant protection products containing it. Following non-approval and the expiry of all grace periods for stocks of products containing this substance, separate action may be taken on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and a separate notification will be made in accordance with SPS procedures.</w:t>
            </w:r>
          </w:p>
          <w:p w14:paraId="304CFABE" w14:textId="5B38C50C" w:rsidR="00BC6FB0" w:rsidRPr="0065690F" w:rsidRDefault="00A257F1" w:rsidP="00441372">
            <w:pPr>
              <w:spacing w:before="120" w:after="120"/>
            </w:pPr>
            <w:r w:rsidRPr="0065690F">
              <w:t>This draft Commission Implementing Regulation was also notified under the TBT</w:t>
            </w:r>
            <w:r>
              <w:t> </w:t>
            </w:r>
            <w:r w:rsidRPr="0065690F">
              <w:t>Agreement in notice G/TBT/N/EU/994</w:t>
            </w:r>
            <w:bookmarkEnd w:id="23"/>
          </w:p>
        </w:tc>
      </w:tr>
      <w:tr w:rsidR="00D70D64" w14:paraId="1EACCEE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C3F673" w14:textId="77777777" w:rsidR="00EA4725" w:rsidRPr="00441372" w:rsidRDefault="00A257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D28107" w14:textId="77777777" w:rsidR="00EA4725" w:rsidRPr="00441372" w:rsidRDefault="00A257F1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70D64" w14:paraId="17742E0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8B045B" w14:textId="77777777" w:rsidR="00EA4725" w:rsidRPr="00441372" w:rsidRDefault="00A257F1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3301FA" w14:textId="77777777" w:rsidR="00EA4725" w:rsidRPr="00441372" w:rsidRDefault="00A257F1" w:rsidP="000C35F7">
            <w:pPr>
              <w:spacing w:before="120" w:after="8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05DFDBBE" w14:textId="77777777" w:rsidR="00EA4725" w:rsidRPr="00441372" w:rsidRDefault="00A257F1" w:rsidP="000C35F7">
            <w:pPr>
              <w:spacing w:after="8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7FDCEAD" w14:textId="77777777" w:rsidR="00EA4725" w:rsidRPr="00441372" w:rsidRDefault="00A257F1" w:rsidP="000C35F7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EEECE10" w14:textId="77777777" w:rsidR="00EA4725" w:rsidRPr="00441372" w:rsidRDefault="00A257F1" w:rsidP="000C35F7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A642889" w14:textId="77777777" w:rsidR="00EA4725" w:rsidRPr="00441372" w:rsidRDefault="00A257F1" w:rsidP="000C35F7">
            <w:pPr>
              <w:spacing w:before="240"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3F73D8C0" w14:textId="77777777" w:rsidR="00EA4725" w:rsidRPr="00441372" w:rsidRDefault="00A257F1" w:rsidP="000C35F7">
            <w:pPr>
              <w:spacing w:after="8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A4F1471" w14:textId="77777777" w:rsidR="00EA4725" w:rsidRPr="00441372" w:rsidRDefault="00A257F1" w:rsidP="000C35F7">
            <w:pPr>
              <w:spacing w:after="8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26D012F6" w14:textId="77777777" w:rsidR="00EA4725" w:rsidRPr="00441372" w:rsidRDefault="00A257F1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D70D64" w14:paraId="190062A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168108" w14:textId="77777777" w:rsidR="00EA4725" w:rsidRPr="00441372" w:rsidRDefault="00A257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B308ED" w14:textId="77777777" w:rsidR="000C35F7" w:rsidRDefault="00A257F1" w:rsidP="000C35F7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7D60FC79" w14:textId="339FCFD3" w:rsidR="00EA4725" w:rsidRPr="00441372" w:rsidRDefault="00A257F1" w:rsidP="000C35F7">
            <w:pPr>
              <w:numPr>
                <w:ilvl w:val="0"/>
                <w:numId w:val="16"/>
              </w:numPr>
              <w:spacing w:before="80"/>
              <w:ind w:left="357" w:hanging="357"/>
            </w:pPr>
            <w:r w:rsidRPr="0065690F">
              <w:t>Regulation (EC) No 1107/2009 of the European Parliament and of the Council of 21</w:t>
            </w:r>
            <w:r>
              <w:t> </w:t>
            </w:r>
            <w:r w:rsidRPr="0065690F">
              <w:t>October 2009 concerning the placing of plant protection products on the market and repealing Council Directives 79/117/EEC and 91/414/EEC</w:t>
            </w:r>
          </w:p>
          <w:p w14:paraId="0CC2B5BB" w14:textId="30D05E1D" w:rsidR="00BC6FB0" w:rsidRPr="0065690F" w:rsidRDefault="00A36898" w:rsidP="000C35F7">
            <w:pPr>
              <w:ind w:left="358"/>
            </w:pPr>
            <w:hyperlink r:id="rId8" w:history="1">
              <w:r w:rsidR="00A257F1" w:rsidRPr="00611527">
                <w:rPr>
                  <w:rStyle w:val="Hyperlink"/>
                </w:rPr>
                <w:t>http://eur-lex.europa.eu/legal-content/EN/TXT/PDF/?uri=CELEX:32009R1107&amp;qid=1437730988988&amp;from=EN</w:t>
              </w:r>
            </w:hyperlink>
          </w:p>
          <w:p w14:paraId="24C27F82" w14:textId="33213181" w:rsidR="00BC6FB0" w:rsidRPr="0065690F" w:rsidRDefault="00A257F1" w:rsidP="000C35F7">
            <w:pPr>
              <w:numPr>
                <w:ilvl w:val="0"/>
                <w:numId w:val="16"/>
              </w:numPr>
              <w:ind w:left="358"/>
            </w:pPr>
            <w:r w:rsidRPr="0065690F">
              <w:t>Commission Implementing Regulation (EU) No 540/2011 of 25 May 2011 implementing Regulation (EC) No 1107/2009 of the European Parliament and of the Council as regards the list of approved active substances (</w:t>
            </w:r>
            <w:r w:rsidRPr="0065690F">
              <w:rPr>
                <w:i/>
                <w:iCs/>
              </w:rPr>
              <w:t>OJ L 153, 11 June 2011, p.</w:t>
            </w:r>
            <w:r>
              <w:rPr>
                <w:i/>
                <w:iCs/>
              </w:rPr>
              <w:t> </w:t>
            </w:r>
            <w:r w:rsidRPr="0065690F">
              <w:rPr>
                <w:i/>
                <w:iCs/>
              </w:rPr>
              <w:t>1–186</w:t>
            </w:r>
            <w:r w:rsidRPr="0065690F">
              <w:t>)</w:t>
            </w:r>
          </w:p>
          <w:p w14:paraId="54A25705" w14:textId="5714F093" w:rsidR="00BC6FB0" w:rsidRPr="0065690F" w:rsidRDefault="00A36898" w:rsidP="000C35F7">
            <w:pPr>
              <w:ind w:left="358"/>
            </w:pPr>
            <w:hyperlink r:id="rId9" w:history="1">
              <w:r w:rsidR="00A257F1" w:rsidRPr="00611527">
                <w:rPr>
                  <w:rStyle w:val="Hyperlink"/>
                </w:rPr>
                <w:t>http://eur-lex.europa.eu/legal-content/EN/TXT/?qid=1442928512004&amp;uri=CELEX:32011R0540</w:t>
              </w:r>
            </w:hyperlink>
          </w:p>
          <w:p w14:paraId="72F14EE1" w14:textId="77777777" w:rsidR="00BC6FB0" w:rsidRPr="0065690F" w:rsidRDefault="00A257F1" w:rsidP="000C35F7">
            <w:pPr>
              <w:numPr>
                <w:ilvl w:val="0"/>
                <w:numId w:val="16"/>
              </w:numPr>
              <w:ind w:left="358"/>
            </w:pPr>
            <w:r w:rsidRPr="0065690F">
              <w:t>Commission Regulation (EU) 2018/605 of 19 April 2018 amending Annex II to Regulation (EC) No 1107/2009 by setting out scientific criteria for the determination of endocrine disrupting properties (</w:t>
            </w:r>
            <w:r w:rsidRPr="0065690F">
              <w:rPr>
                <w:i/>
                <w:iCs/>
              </w:rPr>
              <w:t>OJ L 101, 20 April 2018, p. 33)</w:t>
            </w:r>
          </w:p>
          <w:p w14:paraId="2E6BF571" w14:textId="4D175892" w:rsidR="00BC6FB0" w:rsidRPr="0065690F" w:rsidRDefault="00A36898" w:rsidP="000C35F7">
            <w:pPr>
              <w:ind w:left="358"/>
            </w:pPr>
            <w:hyperlink r:id="rId10" w:history="1">
              <w:r w:rsidR="00A257F1" w:rsidRPr="00611527">
                <w:rPr>
                  <w:rStyle w:val="Hyperlink"/>
                </w:rPr>
                <w:t>https://eur-lex.europa.eu/legal-content/EN/TXT/?uri=CELEX%3A32018R0605</w:t>
              </w:r>
            </w:hyperlink>
          </w:p>
          <w:p w14:paraId="7EB3B282" w14:textId="5AB49D7C" w:rsidR="00BC6FB0" w:rsidRPr="0065690F" w:rsidRDefault="00A257F1" w:rsidP="000C35F7">
            <w:pPr>
              <w:numPr>
                <w:ilvl w:val="0"/>
                <w:numId w:val="16"/>
              </w:numPr>
              <w:ind w:left="358"/>
            </w:pPr>
            <w:r w:rsidRPr="0065690F">
              <w:t>Regulation (EC) No 396/2005 of the European Parliament and of the Council of 23</w:t>
            </w:r>
            <w:r>
              <w:t> </w:t>
            </w:r>
            <w:r w:rsidRPr="0065690F">
              <w:t>February 2005 on maximum residue levels of pesticides in or on food and feed of plant and animal origin and amending Council Directive 91/414/EEC (OJ L 70, 16</w:t>
            </w:r>
            <w:r>
              <w:t> </w:t>
            </w:r>
            <w:r w:rsidRPr="0065690F">
              <w:t>March 2005, p. 1)</w:t>
            </w:r>
          </w:p>
          <w:p w14:paraId="4ED429D9" w14:textId="6957BA6B" w:rsidR="00BC6FB0" w:rsidRPr="0065690F" w:rsidRDefault="00A36898" w:rsidP="000C35F7">
            <w:pPr>
              <w:ind w:left="358"/>
            </w:pPr>
            <w:hyperlink r:id="rId11" w:history="1">
              <w:r w:rsidR="00A257F1" w:rsidRPr="00611527">
                <w:rPr>
                  <w:rStyle w:val="Hyperlink"/>
                </w:rPr>
                <w:t>https://eur-lex.europa.eu/legal-content/EN/ALL/?uri=celex%3A32005R0396</w:t>
              </w:r>
            </w:hyperlink>
          </w:p>
          <w:p w14:paraId="3C565727" w14:textId="32DE928D" w:rsidR="00BC6FB0" w:rsidRPr="0065690F" w:rsidRDefault="00A257F1" w:rsidP="000C35F7">
            <w:pPr>
              <w:numPr>
                <w:ilvl w:val="0"/>
                <w:numId w:val="16"/>
              </w:numPr>
              <w:ind w:left="358"/>
            </w:pPr>
            <w:r w:rsidRPr="0065690F">
              <w:t xml:space="preserve">EFSA (European Food Safety Authority), Alvarez F, Arena M, </w:t>
            </w:r>
            <w:proofErr w:type="spellStart"/>
            <w:r w:rsidRPr="0065690F">
              <w:t>Auteri</w:t>
            </w:r>
            <w:proofErr w:type="spellEnd"/>
            <w:r w:rsidRPr="0065690F">
              <w:t xml:space="preserve"> D, </w:t>
            </w:r>
            <w:proofErr w:type="spellStart"/>
            <w:r w:rsidRPr="0065690F">
              <w:t>Borroto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J,Brancato</w:t>
            </w:r>
            <w:proofErr w:type="spellEnd"/>
            <w:r w:rsidRPr="0065690F">
              <w:t xml:space="preserve"> A, Carrasco Cabrera L, </w:t>
            </w:r>
            <w:proofErr w:type="spellStart"/>
            <w:r w:rsidRPr="0065690F">
              <w:t>Castoldi</w:t>
            </w:r>
            <w:proofErr w:type="spellEnd"/>
            <w:r w:rsidRPr="0065690F">
              <w:t xml:space="preserve"> AF, </w:t>
            </w:r>
            <w:proofErr w:type="spellStart"/>
            <w:r w:rsidRPr="0065690F">
              <w:t>Chiusolo</w:t>
            </w:r>
            <w:proofErr w:type="spellEnd"/>
            <w:r w:rsidRPr="0065690F">
              <w:t xml:space="preserve"> A, </w:t>
            </w:r>
            <w:proofErr w:type="spellStart"/>
            <w:r w:rsidRPr="0065690F">
              <w:t>Colagiorgi</w:t>
            </w:r>
            <w:proofErr w:type="spellEnd"/>
            <w:r w:rsidRPr="0065690F">
              <w:t xml:space="preserve"> A, Colas M, </w:t>
            </w:r>
            <w:proofErr w:type="spellStart"/>
            <w:r w:rsidRPr="0065690F">
              <w:t>Crivellente</w:t>
            </w:r>
            <w:proofErr w:type="spellEnd"/>
            <w:r w:rsidRPr="0065690F">
              <w:t xml:space="preserve"> F, </w:t>
            </w:r>
            <w:proofErr w:type="spellStart"/>
            <w:r w:rsidRPr="0065690F">
              <w:t>DeLentdecker</w:t>
            </w:r>
            <w:proofErr w:type="spellEnd"/>
            <w:r w:rsidRPr="0065690F">
              <w:t xml:space="preserve"> C, </w:t>
            </w:r>
            <w:proofErr w:type="spellStart"/>
            <w:r w:rsidRPr="0065690F">
              <w:t>Egsmose</w:t>
            </w:r>
            <w:proofErr w:type="spellEnd"/>
            <w:r w:rsidRPr="0065690F">
              <w:t xml:space="preserve"> M, Fait G, </w:t>
            </w:r>
            <w:proofErr w:type="spellStart"/>
            <w:r w:rsidRPr="0065690F">
              <w:t>Gouliarmou</w:t>
            </w:r>
            <w:proofErr w:type="spellEnd"/>
            <w:r w:rsidRPr="0065690F">
              <w:t xml:space="preserve"> V, </w:t>
            </w:r>
            <w:proofErr w:type="spellStart"/>
            <w:r w:rsidRPr="0065690F">
              <w:t>Ferilli</w:t>
            </w:r>
            <w:proofErr w:type="spellEnd"/>
            <w:r w:rsidRPr="0065690F">
              <w:t xml:space="preserve"> F, Greco L, Ippolito A, </w:t>
            </w:r>
            <w:proofErr w:type="spellStart"/>
            <w:r w:rsidRPr="0065690F">
              <w:t>Istace</w:t>
            </w:r>
            <w:proofErr w:type="spellEnd"/>
            <w:r w:rsidRPr="0065690F">
              <w:t xml:space="preserve"> F, Jarrah </w:t>
            </w:r>
            <w:proofErr w:type="spellStart"/>
            <w:r w:rsidRPr="0065690F">
              <w:t>S,Kardassi</w:t>
            </w:r>
            <w:proofErr w:type="spellEnd"/>
            <w:r w:rsidRPr="0065690F">
              <w:t xml:space="preserve"> D, </w:t>
            </w:r>
            <w:proofErr w:type="spellStart"/>
            <w:r w:rsidRPr="0065690F">
              <w:t>Kienzler</w:t>
            </w:r>
            <w:proofErr w:type="spellEnd"/>
            <w:r w:rsidRPr="0065690F">
              <w:t xml:space="preserve"> A, Leuschner R, Lava R, </w:t>
            </w:r>
            <w:proofErr w:type="spellStart"/>
            <w:r w:rsidRPr="0065690F">
              <w:t>Linguadoca</w:t>
            </w:r>
            <w:proofErr w:type="spellEnd"/>
            <w:r w:rsidRPr="0065690F">
              <w:t xml:space="preserve"> A, </w:t>
            </w:r>
            <w:proofErr w:type="spellStart"/>
            <w:r w:rsidRPr="0065690F">
              <w:t>Lythgo</w:t>
            </w:r>
            <w:proofErr w:type="spellEnd"/>
            <w:r w:rsidRPr="0065690F">
              <w:t xml:space="preserve"> C, </w:t>
            </w:r>
            <w:proofErr w:type="spellStart"/>
            <w:r w:rsidRPr="0065690F">
              <w:t>Magrans</w:t>
            </w:r>
            <w:proofErr w:type="spellEnd"/>
            <w:r w:rsidRPr="0065690F">
              <w:t xml:space="preserve"> O, Mangas I, </w:t>
            </w:r>
            <w:proofErr w:type="spellStart"/>
            <w:r w:rsidRPr="0065690F">
              <w:t>Miron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I,Molnar</w:t>
            </w:r>
            <w:proofErr w:type="spellEnd"/>
            <w:r w:rsidRPr="0065690F">
              <w:t xml:space="preserve"> T, </w:t>
            </w:r>
            <w:proofErr w:type="spellStart"/>
            <w:r w:rsidRPr="0065690F">
              <w:t>Padovani</w:t>
            </w:r>
            <w:proofErr w:type="spellEnd"/>
            <w:r w:rsidRPr="0065690F">
              <w:t xml:space="preserve"> L, Parra </w:t>
            </w:r>
            <w:proofErr w:type="spellStart"/>
            <w:r w:rsidRPr="0065690F">
              <w:t>Morte</w:t>
            </w:r>
            <w:proofErr w:type="spellEnd"/>
            <w:r w:rsidRPr="0065690F">
              <w:t xml:space="preserve"> JM, Pedersen R, Reich H, Santos M, Sharp R, </w:t>
            </w:r>
            <w:proofErr w:type="spellStart"/>
            <w:r w:rsidRPr="0065690F">
              <w:t>Szentes</w:t>
            </w:r>
            <w:proofErr w:type="spellEnd"/>
            <w:r w:rsidRPr="0065690F">
              <w:t xml:space="preserve"> C, Terron </w:t>
            </w:r>
            <w:proofErr w:type="spellStart"/>
            <w:r w:rsidRPr="0065690F">
              <w:t>A,Tiramani</w:t>
            </w:r>
            <w:proofErr w:type="spellEnd"/>
            <w:r w:rsidRPr="0065690F">
              <w:t xml:space="preserve"> M, </w:t>
            </w:r>
            <w:proofErr w:type="spellStart"/>
            <w:r w:rsidRPr="0065690F">
              <w:t>Vagenende</w:t>
            </w:r>
            <w:proofErr w:type="spellEnd"/>
            <w:r w:rsidRPr="0065690F">
              <w:t xml:space="preserve"> B and </w:t>
            </w:r>
            <w:proofErr w:type="spellStart"/>
            <w:r w:rsidRPr="0065690F">
              <w:t>Villamar</w:t>
            </w:r>
            <w:proofErr w:type="spellEnd"/>
            <w:r w:rsidRPr="0065690F">
              <w:t xml:space="preserve">-Bouza L, 2021. Conclusion on the peer review of the </w:t>
            </w:r>
            <w:proofErr w:type="spellStart"/>
            <w:r w:rsidRPr="0065690F">
              <w:t>pesticiderisk</w:t>
            </w:r>
            <w:proofErr w:type="spellEnd"/>
            <w:r w:rsidRPr="0065690F">
              <w:t xml:space="preserve"> assessment of the active substance </w:t>
            </w:r>
            <w:proofErr w:type="spellStart"/>
            <w:r w:rsidRPr="0065690F">
              <w:t>clofentezine</w:t>
            </w:r>
            <w:proofErr w:type="spellEnd"/>
            <w:r w:rsidRPr="0065690F">
              <w:t>. EFSA Journal 2021;19(8):6817, 35</w:t>
            </w:r>
            <w:r>
              <w:t> </w:t>
            </w:r>
            <w:r w:rsidRPr="0065690F">
              <w:t>pp.</w:t>
            </w:r>
          </w:p>
          <w:p w14:paraId="575A4D88" w14:textId="13BEFA05" w:rsidR="00BC6FB0" w:rsidRPr="0065690F" w:rsidRDefault="00A36898" w:rsidP="000C35F7">
            <w:pPr>
              <w:ind w:left="358"/>
            </w:pPr>
            <w:hyperlink r:id="rId12" w:history="1">
              <w:r w:rsidR="00A257F1" w:rsidRPr="00611527">
                <w:rPr>
                  <w:rStyle w:val="Hyperlink"/>
                </w:rPr>
                <w:t>https://doi.org/10.2903/j.efsa.2021.6817</w:t>
              </w:r>
            </w:hyperlink>
          </w:p>
          <w:p w14:paraId="3E5D367E" w14:textId="208A53D5" w:rsidR="00BC6FB0" w:rsidRPr="0065690F" w:rsidRDefault="00A257F1" w:rsidP="00441372">
            <w:pPr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D70D64" w14:paraId="09D16E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D67E0F" w14:textId="77777777" w:rsidR="00EA4725" w:rsidRPr="00441372" w:rsidRDefault="00A257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AEDEEA" w14:textId="2DCD4DF2" w:rsidR="00EA4725" w:rsidRPr="00441372" w:rsidRDefault="00A257F1" w:rsidP="000C35F7">
            <w:pPr>
              <w:spacing w:before="120" w:after="8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4</w:t>
            </w:r>
            <w:r w:rsidRPr="000C35F7">
              <w:rPr>
                <w:vertAlign w:val="superscript"/>
              </w:rPr>
              <w:t>th</w:t>
            </w:r>
            <w:r>
              <w:t xml:space="preserve"> </w:t>
            </w:r>
            <w:r w:rsidRPr="0065690F">
              <w:t>quarter 2023.</w:t>
            </w:r>
            <w:bookmarkEnd w:id="59"/>
          </w:p>
          <w:p w14:paraId="60AA8C33" w14:textId="3A321145" w:rsidR="00EA4725" w:rsidRPr="00441372" w:rsidRDefault="00A257F1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4</w:t>
            </w:r>
            <w:r w:rsidRPr="000C35F7">
              <w:rPr>
                <w:vertAlign w:val="superscript"/>
              </w:rPr>
              <w:t>th</w:t>
            </w:r>
            <w:r>
              <w:t xml:space="preserve"> </w:t>
            </w:r>
            <w:r w:rsidRPr="0065690F">
              <w:t>quarter 2023.</w:t>
            </w:r>
            <w:bookmarkEnd w:id="61"/>
          </w:p>
        </w:tc>
      </w:tr>
      <w:tr w:rsidR="00D70D64" w14:paraId="215D35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89D708" w14:textId="77777777" w:rsidR="00EA4725" w:rsidRPr="00441372" w:rsidRDefault="00A257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0B2B44" w14:textId="41E97552" w:rsidR="00EA4725" w:rsidRPr="00441372" w:rsidRDefault="00A257F1" w:rsidP="000C35F7">
            <w:pPr>
              <w:spacing w:before="120" w:after="8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Three days following publication in the Official Journal of the European</w:t>
            </w:r>
            <w:r>
              <w:t> </w:t>
            </w:r>
            <w:r w:rsidRPr="0065690F">
              <w:t>Union.</w:t>
            </w:r>
            <w:bookmarkEnd w:id="65"/>
          </w:p>
          <w:p w14:paraId="7087B5FA" w14:textId="77777777" w:rsidR="00EA4725" w:rsidRPr="00441372" w:rsidRDefault="00A257F1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D70D64" w:rsidRPr="00233B39" w14:paraId="51C63C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E1F3DD" w14:textId="77777777" w:rsidR="00EA4725" w:rsidRPr="00441372" w:rsidRDefault="00A257F1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5524F9" w14:textId="77777777" w:rsidR="00EA4725" w:rsidRPr="00441372" w:rsidRDefault="00A257F1" w:rsidP="000C35F7">
            <w:pPr>
              <w:spacing w:before="120" w:after="8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applicable. Comments are only welcomed on TBT related issues and to be addressed to the TBT Enquiry Point on notice G/TBT/N/EU/994.</w:t>
            </w:r>
            <w:bookmarkEnd w:id="72"/>
          </w:p>
          <w:p w14:paraId="5F784D6E" w14:textId="77777777" w:rsidR="00EA4725" w:rsidRPr="00441372" w:rsidRDefault="00A257F1" w:rsidP="000C35F7">
            <w:pPr>
              <w:spacing w:after="8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253F6129" w14:textId="77777777" w:rsidR="00BC6FB0" w:rsidRPr="000C35F7" w:rsidRDefault="00A257F1" w:rsidP="00441372">
            <w:pPr>
              <w:rPr>
                <w:lang w:val="fr-CH"/>
              </w:rPr>
            </w:pPr>
            <w:proofErr w:type="spellStart"/>
            <w:r w:rsidRPr="000C35F7">
              <w:rPr>
                <w:lang w:val="fr-CH"/>
              </w:rPr>
              <w:t>European</w:t>
            </w:r>
            <w:proofErr w:type="spellEnd"/>
            <w:r w:rsidRPr="000C35F7">
              <w:rPr>
                <w:lang w:val="fr-CH"/>
              </w:rPr>
              <w:t xml:space="preserve"> Commission</w:t>
            </w:r>
          </w:p>
          <w:p w14:paraId="0B7F2077" w14:textId="77777777" w:rsidR="00BC6FB0" w:rsidRPr="000C35F7" w:rsidRDefault="00A257F1" w:rsidP="00441372">
            <w:pPr>
              <w:rPr>
                <w:lang w:val="fr-CH"/>
              </w:rPr>
            </w:pPr>
            <w:r w:rsidRPr="000C35F7">
              <w:rPr>
                <w:lang w:val="fr-CH"/>
              </w:rPr>
              <w:t>EU-</w:t>
            </w:r>
            <w:proofErr w:type="spellStart"/>
            <w:r w:rsidRPr="000C35F7">
              <w:rPr>
                <w:lang w:val="fr-CH"/>
              </w:rPr>
              <w:t>TBT</w:t>
            </w:r>
            <w:proofErr w:type="spellEnd"/>
            <w:r w:rsidRPr="000C35F7">
              <w:rPr>
                <w:lang w:val="fr-CH"/>
              </w:rPr>
              <w:t xml:space="preserve"> </w:t>
            </w:r>
            <w:proofErr w:type="spellStart"/>
            <w:r w:rsidRPr="000C35F7">
              <w:rPr>
                <w:lang w:val="fr-CH"/>
              </w:rPr>
              <w:t>Enquiry</w:t>
            </w:r>
            <w:proofErr w:type="spellEnd"/>
            <w:r w:rsidRPr="000C35F7">
              <w:rPr>
                <w:lang w:val="fr-CH"/>
              </w:rPr>
              <w:t xml:space="preserve"> Point</w:t>
            </w:r>
          </w:p>
          <w:p w14:paraId="270D1C0C" w14:textId="77777777" w:rsidR="00BC6FB0" w:rsidRPr="000C35F7" w:rsidRDefault="00A257F1" w:rsidP="00441372">
            <w:pPr>
              <w:rPr>
                <w:lang w:val="fr-CH"/>
              </w:rPr>
            </w:pPr>
            <w:r w:rsidRPr="000C35F7">
              <w:rPr>
                <w:lang w:val="fr-CH"/>
              </w:rPr>
              <w:t>Fax: +(32) 2 299 80 43</w:t>
            </w:r>
          </w:p>
          <w:p w14:paraId="3CF9AF48" w14:textId="77777777" w:rsidR="00BC6FB0" w:rsidRPr="000C35F7" w:rsidRDefault="00A257F1" w:rsidP="00441372">
            <w:pPr>
              <w:spacing w:after="120"/>
              <w:rPr>
                <w:lang w:val="fr-CH"/>
              </w:rPr>
            </w:pPr>
            <w:r w:rsidRPr="000C35F7">
              <w:rPr>
                <w:lang w:val="fr-CH"/>
              </w:rPr>
              <w:t xml:space="preserve">E-mail: </w:t>
            </w:r>
            <w:hyperlink r:id="rId13" w:history="1">
              <w:r w:rsidRPr="000C35F7">
                <w:rPr>
                  <w:color w:val="0000FF"/>
                  <w:u w:val="single"/>
                  <w:lang w:val="fr-CH"/>
                </w:rPr>
                <w:t>grow-eu-tbt@ec.europa.eu</w:t>
              </w:r>
            </w:hyperlink>
            <w:bookmarkEnd w:id="79"/>
          </w:p>
        </w:tc>
      </w:tr>
      <w:tr w:rsidR="00D70D64" w:rsidRPr="00233B39" w14:paraId="7B96290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D0A7CDE" w14:textId="77777777" w:rsidR="00EA4725" w:rsidRPr="00441372" w:rsidRDefault="00A257F1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665301B" w14:textId="77777777" w:rsidR="00EA4725" w:rsidRPr="00441372" w:rsidRDefault="00A257F1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2F36563" w14:textId="77777777" w:rsidR="00EA4725" w:rsidRPr="000C35F7" w:rsidRDefault="00A257F1" w:rsidP="00F3021D">
            <w:pPr>
              <w:keepNext/>
              <w:keepLines/>
              <w:rPr>
                <w:bCs/>
                <w:lang w:val="fr-CH"/>
              </w:rPr>
            </w:pPr>
            <w:proofErr w:type="spellStart"/>
            <w:r w:rsidRPr="000C35F7">
              <w:rPr>
                <w:bCs/>
                <w:lang w:val="fr-CH"/>
              </w:rPr>
              <w:t>European</w:t>
            </w:r>
            <w:proofErr w:type="spellEnd"/>
            <w:r w:rsidRPr="000C35F7">
              <w:rPr>
                <w:bCs/>
                <w:lang w:val="fr-CH"/>
              </w:rPr>
              <w:t xml:space="preserve"> Commission</w:t>
            </w:r>
          </w:p>
          <w:p w14:paraId="4E8537D1" w14:textId="77777777" w:rsidR="00EA4725" w:rsidRPr="000C35F7" w:rsidRDefault="00A257F1" w:rsidP="00F3021D">
            <w:pPr>
              <w:keepNext/>
              <w:keepLines/>
              <w:rPr>
                <w:bCs/>
                <w:lang w:val="fr-CH"/>
              </w:rPr>
            </w:pPr>
            <w:r w:rsidRPr="000C35F7">
              <w:rPr>
                <w:bCs/>
                <w:lang w:val="fr-CH"/>
              </w:rPr>
              <w:t>EU-</w:t>
            </w:r>
            <w:proofErr w:type="spellStart"/>
            <w:r w:rsidRPr="000C35F7">
              <w:rPr>
                <w:bCs/>
                <w:lang w:val="fr-CH"/>
              </w:rPr>
              <w:t>TBT</w:t>
            </w:r>
            <w:proofErr w:type="spellEnd"/>
            <w:r w:rsidRPr="000C35F7">
              <w:rPr>
                <w:bCs/>
                <w:lang w:val="fr-CH"/>
              </w:rPr>
              <w:t xml:space="preserve"> </w:t>
            </w:r>
            <w:proofErr w:type="spellStart"/>
            <w:r w:rsidRPr="000C35F7">
              <w:rPr>
                <w:bCs/>
                <w:lang w:val="fr-CH"/>
              </w:rPr>
              <w:t>Enquiry</w:t>
            </w:r>
            <w:proofErr w:type="spellEnd"/>
            <w:r w:rsidRPr="000C35F7">
              <w:rPr>
                <w:bCs/>
                <w:lang w:val="fr-CH"/>
              </w:rPr>
              <w:t xml:space="preserve"> Point</w:t>
            </w:r>
          </w:p>
          <w:p w14:paraId="67BB3740" w14:textId="77777777" w:rsidR="00EA4725" w:rsidRPr="000C35F7" w:rsidRDefault="00A257F1" w:rsidP="00F3021D">
            <w:pPr>
              <w:keepNext/>
              <w:keepLines/>
              <w:rPr>
                <w:bCs/>
                <w:lang w:val="fr-CH"/>
              </w:rPr>
            </w:pPr>
            <w:r w:rsidRPr="000C35F7">
              <w:rPr>
                <w:bCs/>
                <w:lang w:val="fr-CH"/>
              </w:rPr>
              <w:t>Fax: +(32) 2 299 80 43</w:t>
            </w:r>
          </w:p>
          <w:p w14:paraId="1443796E" w14:textId="77777777" w:rsidR="00EA4725" w:rsidRPr="000C35F7" w:rsidRDefault="00A257F1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0C35F7">
              <w:rPr>
                <w:bCs/>
                <w:lang w:val="fr-CH"/>
              </w:rPr>
              <w:t xml:space="preserve">E-mail: </w:t>
            </w:r>
            <w:hyperlink r:id="rId14" w:history="1">
              <w:r w:rsidRPr="000C35F7">
                <w:rPr>
                  <w:bCs/>
                  <w:color w:val="0000FF"/>
                  <w:u w:val="single"/>
                  <w:lang w:val="fr-CH"/>
                </w:rPr>
                <w:t>grow-eu-tbt@ec.europa.eu</w:t>
              </w:r>
            </w:hyperlink>
            <w:bookmarkEnd w:id="86"/>
          </w:p>
        </w:tc>
      </w:tr>
    </w:tbl>
    <w:p w14:paraId="4AB00678" w14:textId="77777777" w:rsidR="007141CF" w:rsidRPr="000C35F7" w:rsidRDefault="007141CF" w:rsidP="00441372">
      <w:pPr>
        <w:rPr>
          <w:lang w:val="fr-CH"/>
        </w:rPr>
      </w:pPr>
    </w:p>
    <w:sectPr w:rsidR="007141CF" w:rsidRPr="000C35F7" w:rsidSect="000C35F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D9B35" w14:textId="77777777" w:rsidR="00F85E9E" w:rsidRDefault="00A257F1">
      <w:r>
        <w:separator/>
      </w:r>
    </w:p>
  </w:endnote>
  <w:endnote w:type="continuationSeparator" w:id="0">
    <w:p w14:paraId="307FECFB" w14:textId="77777777" w:rsidR="00F85E9E" w:rsidRDefault="00A2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7A8C" w14:textId="11FB0239" w:rsidR="00EA4725" w:rsidRPr="000C35F7" w:rsidRDefault="00A257F1" w:rsidP="000C35F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A362" w14:textId="4390EB10" w:rsidR="00EA4725" w:rsidRPr="000C35F7" w:rsidRDefault="00A257F1" w:rsidP="000C35F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BD57" w14:textId="77777777" w:rsidR="00C863EB" w:rsidRPr="00441372" w:rsidRDefault="00A257F1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A4306" w14:textId="77777777" w:rsidR="00F85E9E" w:rsidRDefault="00A257F1">
      <w:r>
        <w:separator/>
      </w:r>
    </w:p>
  </w:footnote>
  <w:footnote w:type="continuationSeparator" w:id="0">
    <w:p w14:paraId="369DE551" w14:textId="77777777" w:rsidR="00F85E9E" w:rsidRDefault="00A25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A3B79" w14:textId="77777777" w:rsidR="000C35F7" w:rsidRPr="000C35F7" w:rsidRDefault="00A257F1" w:rsidP="000C35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35F7">
      <w:t>G/SPS/N/EU/662</w:t>
    </w:r>
  </w:p>
  <w:p w14:paraId="2039D95E" w14:textId="77777777" w:rsidR="000C35F7" w:rsidRPr="000C35F7" w:rsidRDefault="000C35F7" w:rsidP="000C35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80A7DF8" w14:textId="52F871FD" w:rsidR="000C35F7" w:rsidRPr="000C35F7" w:rsidRDefault="00A257F1" w:rsidP="000C35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35F7">
      <w:t xml:space="preserve">- </w:t>
    </w:r>
    <w:r w:rsidRPr="000C35F7">
      <w:fldChar w:fldCharType="begin"/>
    </w:r>
    <w:r w:rsidRPr="000C35F7">
      <w:instrText xml:space="preserve"> PAGE </w:instrText>
    </w:r>
    <w:r w:rsidRPr="000C35F7">
      <w:fldChar w:fldCharType="separate"/>
    </w:r>
    <w:r w:rsidRPr="000C35F7">
      <w:rPr>
        <w:noProof/>
      </w:rPr>
      <w:t>2</w:t>
    </w:r>
    <w:r w:rsidRPr="000C35F7">
      <w:fldChar w:fldCharType="end"/>
    </w:r>
    <w:r w:rsidRPr="000C35F7">
      <w:t xml:space="preserve"> -</w:t>
    </w:r>
  </w:p>
  <w:p w14:paraId="24A0E29D" w14:textId="35A3629A" w:rsidR="00EA4725" w:rsidRPr="000C35F7" w:rsidRDefault="00EA4725" w:rsidP="000C35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E8D68" w14:textId="77777777" w:rsidR="000C35F7" w:rsidRPr="000C35F7" w:rsidRDefault="00A257F1" w:rsidP="000C35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35F7">
      <w:t>G/SPS/N/EU/662</w:t>
    </w:r>
  </w:p>
  <w:p w14:paraId="4CE98515" w14:textId="77777777" w:rsidR="000C35F7" w:rsidRPr="000C35F7" w:rsidRDefault="000C35F7" w:rsidP="000C35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6C466C8" w14:textId="0A03C000" w:rsidR="000C35F7" w:rsidRPr="000C35F7" w:rsidRDefault="00A257F1" w:rsidP="000C35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C35F7">
      <w:t xml:space="preserve">- </w:t>
    </w:r>
    <w:r w:rsidRPr="000C35F7">
      <w:fldChar w:fldCharType="begin"/>
    </w:r>
    <w:r w:rsidRPr="000C35F7">
      <w:instrText xml:space="preserve"> PAGE </w:instrText>
    </w:r>
    <w:r w:rsidRPr="000C35F7">
      <w:fldChar w:fldCharType="separate"/>
    </w:r>
    <w:r w:rsidRPr="000C35F7">
      <w:rPr>
        <w:noProof/>
      </w:rPr>
      <w:t>2</w:t>
    </w:r>
    <w:r w:rsidRPr="000C35F7">
      <w:fldChar w:fldCharType="end"/>
    </w:r>
    <w:r w:rsidRPr="000C35F7">
      <w:t xml:space="preserve"> -</w:t>
    </w:r>
  </w:p>
  <w:p w14:paraId="1F67444F" w14:textId="65910046" w:rsidR="00EA4725" w:rsidRPr="000C35F7" w:rsidRDefault="00EA4725" w:rsidP="000C35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70D64" w14:paraId="3690D5F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804AD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C2CF1F" w14:textId="1F58D1F3" w:rsidR="00ED54E0" w:rsidRPr="00EA4725" w:rsidRDefault="00A257F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D70D64" w14:paraId="7DE9EB29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D6E4351" w14:textId="77777777" w:rsidR="00ED54E0" w:rsidRPr="00EA4725" w:rsidRDefault="00A36898" w:rsidP="00422B6F">
          <w:pPr>
            <w:jc w:val="left"/>
          </w:pPr>
          <w:r>
            <w:rPr>
              <w:lang w:eastAsia="en-GB"/>
            </w:rPr>
            <w:pict w14:anchorId="38A30F8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A1976A8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70D64" w14:paraId="0411608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1EF85D3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D76BAFE" w14:textId="77777777" w:rsidR="000C35F7" w:rsidRDefault="00A257F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G/SPS/N/EU/662</w:t>
          </w:r>
          <w:bookmarkEnd w:id="88"/>
        </w:p>
      </w:tc>
    </w:tr>
    <w:tr w:rsidR="00D70D64" w14:paraId="3432080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B1300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8B4DBD" w14:textId="0CD3538B" w:rsidR="00ED54E0" w:rsidRPr="00EA4725" w:rsidRDefault="00A257F1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21 July 2023</w:t>
          </w:r>
        </w:p>
      </w:tc>
    </w:tr>
    <w:tr w:rsidR="00D70D64" w14:paraId="60CCD76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E6BC3FE" w14:textId="5A47146B" w:rsidR="00ED54E0" w:rsidRPr="00EA4725" w:rsidRDefault="00A257F1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233B39">
            <w:rPr>
              <w:color w:val="FF0000"/>
              <w:szCs w:val="16"/>
            </w:rPr>
            <w:t>4992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74AEF59" w14:textId="77777777" w:rsidR="00ED54E0" w:rsidRPr="00EA4725" w:rsidRDefault="00A257F1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D70D64" w14:paraId="0BD5B50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D70CC2F" w14:textId="3AD25FD6" w:rsidR="00ED54E0" w:rsidRPr="00EA4725" w:rsidRDefault="00A257F1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B55F646" w14:textId="40DCB49E" w:rsidR="00ED54E0" w:rsidRPr="00441372" w:rsidRDefault="00A257F1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208F4A2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DB6E6B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FAC94FC" w:tentative="1">
      <w:start w:val="1"/>
      <w:numFmt w:val="lowerLetter"/>
      <w:lvlText w:val="%2."/>
      <w:lvlJc w:val="left"/>
      <w:pPr>
        <w:ind w:left="1080" w:hanging="360"/>
      </w:pPr>
    </w:lvl>
    <w:lvl w:ilvl="2" w:tplc="190AF432" w:tentative="1">
      <w:start w:val="1"/>
      <w:numFmt w:val="lowerRoman"/>
      <w:lvlText w:val="%3."/>
      <w:lvlJc w:val="right"/>
      <w:pPr>
        <w:ind w:left="1800" w:hanging="180"/>
      </w:pPr>
    </w:lvl>
    <w:lvl w:ilvl="3" w:tplc="D3EA7260" w:tentative="1">
      <w:start w:val="1"/>
      <w:numFmt w:val="decimal"/>
      <w:lvlText w:val="%4."/>
      <w:lvlJc w:val="left"/>
      <w:pPr>
        <w:ind w:left="2520" w:hanging="360"/>
      </w:pPr>
    </w:lvl>
    <w:lvl w:ilvl="4" w:tplc="377E529A" w:tentative="1">
      <w:start w:val="1"/>
      <w:numFmt w:val="lowerLetter"/>
      <w:lvlText w:val="%5."/>
      <w:lvlJc w:val="left"/>
      <w:pPr>
        <w:ind w:left="3240" w:hanging="360"/>
      </w:pPr>
    </w:lvl>
    <w:lvl w:ilvl="5" w:tplc="6D525EC2" w:tentative="1">
      <w:start w:val="1"/>
      <w:numFmt w:val="lowerRoman"/>
      <w:lvlText w:val="%6."/>
      <w:lvlJc w:val="right"/>
      <w:pPr>
        <w:ind w:left="3960" w:hanging="180"/>
      </w:pPr>
    </w:lvl>
    <w:lvl w:ilvl="6" w:tplc="B8CE55CC" w:tentative="1">
      <w:start w:val="1"/>
      <w:numFmt w:val="decimal"/>
      <w:lvlText w:val="%7."/>
      <w:lvlJc w:val="left"/>
      <w:pPr>
        <w:ind w:left="4680" w:hanging="360"/>
      </w:pPr>
    </w:lvl>
    <w:lvl w:ilvl="7" w:tplc="05120562" w:tentative="1">
      <w:start w:val="1"/>
      <w:numFmt w:val="lowerLetter"/>
      <w:lvlText w:val="%8."/>
      <w:lvlJc w:val="left"/>
      <w:pPr>
        <w:ind w:left="5400" w:hanging="360"/>
      </w:pPr>
    </w:lvl>
    <w:lvl w:ilvl="8" w:tplc="B914E0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921406"/>
    <w:multiLevelType w:val="hybridMultilevel"/>
    <w:tmpl w:val="C038D57E"/>
    <w:lvl w:ilvl="0" w:tplc="7940FF2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C58A5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E608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BC54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7A4F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4258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9457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261E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5053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077677">
    <w:abstractNumId w:val="9"/>
  </w:num>
  <w:num w:numId="2" w16cid:durableId="508258516">
    <w:abstractNumId w:val="7"/>
  </w:num>
  <w:num w:numId="3" w16cid:durableId="309788727">
    <w:abstractNumId w:val="6"/>
  </w:num>
  <w:num w:numId="4" w16cid:durableId="1163198818">
    <w:abstractNumId w:val="5"/>
  </w:num>
  <w:num w:numId="5" w16cid:durableId="936405498">
    <w:abstractNumId w:val="4"/>
  </w:num>
  <w:num w:numId="6" w16cid:durableId="812335088">
    <w:abstractNumId w:val="12"/>
  </w:num>
  <w:num w:numId="7" w16cid:durableId="1691758062">
    <w:abstractNumId w:val="11"/>
  </w:num>
  <w:num w:numId="8" w16cid:durableId="2036079735">
    <w:abstractNumId w:val="10"/>
  </w:num>
  <w:num w:numId="9" w16cid:durableId="5824490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5279376">
    <w:abstractNumId w:val="13"/>
  </w:num>
  <w:num w:numId="11" w16cid:durableId="62261562">
    <w:abstractNumId w:val="8"/>
  </w:num>
  <w:num w:numId="12" w16cid:durableId="440031679">
    <w:abstractNumId w:val="3"/>
  </w:num>
  <w:num w:numId="13" w16cid:durableId="1608149276">
    <w:abstractNumId w:val="2"/>
  </w:num>
  <w:num w:numId="14" w16cid:durableId="466238889">
    <w:abstractNumId w:val="1"/>
  </w:num>
  <w:num w:numId="15" w16cid:durableId="1168594782">
    <w:abstractNumId w:val="0"/>
  </w:num>
  <w:num w:numId="16" w16cid:durableId="5285634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C35F7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33B39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1527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257F1"/>
    <w:rsid w:val="00A36898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C6FB0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0D64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85E9E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DF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0C3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EN/TXT/PDF/?uri=CELEX:32009R1107&amp;qid=1437730988988&amp;from=EN" TargetMode="External"/><Relationship Id="rId13" Type="http://schemas.openxmlformats.org/officeDocument/2006/relationships/hyperlink" Target="mailto:grow-eu-tbt@ec.europa.e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i.org/10.2903/j.efsa.2021.681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gal-content/EN/ALL/?uri=celex%3A32005R039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ur-lex.europa.eu/legal-content/EN/TXT/?uri=CELEX%3A32018R0605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EN/TXT/?qid=1442928512004&amp;uri=CELEX:32011R0540" TargetMode="External"/><Relationship Id="rId14" Type="http://schemas.openxmlformats.org/officeDocument/2006/relationships/hyperlink" Target="mailto:grow-eu-tbt@ec.europa.eu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7cebe5c1-75ed-4172-9a35-09b2023d423c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DFC4F03-2A50-4951-8554-5574CFCFFFCE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938</Words>
  <Characters>5651</Characters>
  <Application>Microsoft Office Word</Application>
  <DocSecurity>0</DocSecurity>
  <Lines>122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2023-07-21T07:01:00Z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G/SPS/N/EU/662</vt:lpwstr>
  </property>
  <property fmtid="{D5CDD505-2E9C-101B-9397-08002B2CF9AE}" pid="3" name="TitusGUID">
    <vt:lpwstr>7cebe5c1-75ed-4172-9a35-09b2023d423c</vt:lpwstr>
  </property>
  <property fmtid="{D5CDD505-2E9C-101B-9397-08002B2CF9AE}" pid="4" name="WTOCLASSIFICATION">
    <vt:lpwstr>WTO OFFICIAL</vt:lpwstr>
  </property>
</Properties>
</file>