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8753" w14:textId="77777777" w:rsidR="00EA4725" w:rsidRPr="00441372" w:rsidRDefault="00C4561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679D6" w14:paraId="212FAC03" w14:textId="77777777" w:rsidTr="00F3021D">
        <w:tc>
          <w:tcPr>
            <w:tcW w:w="707" w:type="dxa"/>
            <w:tcBorders>
              <w:bottom w:val="single" w:sz="6" w:space="0" w:color="auto"/>
            </w:tcBorders>
            <w:shd w:val="clear" w:color="auto" w:fill="auto"/>
          </w:tcPr>
          <w:p w14:paraId="5C934601" w14:textId="77777777" w:rsidR="00EA4725" w:rsidRPr="00441372" w:rsidRDefault="00C45610" w:rsidP="00441372">
            <w:pPr>
              <w:spacing w:before="120" w:after="120"/>
              <w:jc w:val="left"/>
            </w:pPr>
            <w:r w:rsidRPr="00441372">
              <w:rPr>
                <w:b/>
              </w:rPr>
              <w:t>1.</w:t>
            </w:r>
          </w:p>
        </w:tc>
        <w:tc>
          <w:tcPr>
            <w:tcW w:w="8320" w:type="dxa"/>
            <w:tcBorders>
              <w:bottom w:val="single" w:sz="6" w:space="0" w:color="auto"/>
            </w:tcBorders>
            <w:shd w:val="clear" w:color="auto" w:fill="auto"/>
          </w:tcPr>
          <w:p w14:paraId="18F17FD0" w14:textId="77777777" w:rsidR="00EA4725" w:rsidRPr="00441372" w:rsidRDefault="00C4561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3C1142D" w14:textId="77777777" w:rsidR="00EA4725" w:rsidRPr="00441372" w:rsidRDefault="00C4561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679D6" w14:paraId="53049628" w14:textId="77777777" w:rsidTr="00F3021D">
        <w:tc>
          <w:tcPr>
            <w:tcW w:w="707" w:type="dxa"/>
            <w:tcBorders>
              <w:top w:val="single" w:sz="6" w:space="0" w:color="auto"/>
              <w:bottom w:val="single" w:sz="6" w:space="0" w:color="auto"/>
            </w:tcBorders>
            <w:shd w:val="clear" w:color="auto" w:fill="auto"/>
          </w:tcPr>
          <w:p w14:paraId="3CE6A244" w14:textId="77777777" w:rsidR="00EA4725" w:rsidRPr="00441372" w:rsidRDefault="00C4561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EBE6DD" w14:textId="77777777" w:rsidR="00EA4725" w:rsidRPr="00441372" w:rsidRDefault="00C4561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2679D6" w14:paraId="3A7E4F82" w14:textId="77777777" w:rsidTr="00F3021D">
        <w:tc>
          <w:tcPr>
            <w:tcW w:w="707" w:type="dxa"/>
            <w:tcBorders>
              <w:top w:val="single" w:sz="6" w:space="0" w:color="auto"/>
              <w:bottom w:val="single" w:sz="6" w:space="0" w:color="auto"/>
            </w:tcBorders>
            <w:shd w:val="clear" w:color="auto" w:fill="auto"/>
          </w:tcPr>
          <w:p w14:paraId="72016FB1" w14:textId="77777777" w:rsidR="00EA4725" w:rsidRPr="00441372" w:rsidRDefault="00C4561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26E079" w14:textId="77777777" w:rsidR="00EA4725" w:rsidRPr="00441372" w:rsidRDefault="00C4561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products</w:t>
            </w:r>
            <w:bookmarkEnd w:id="7"/>
          </w:p>
        </w:tc>
      </w:tr>
      <w:tr w:rsidR="002679D6" w14:paraId="1EE5E436" w14:textId="77777777" w:rsidTr="00F3021D">
        <w:tc>
          <w:tcPr>
            <w:tcW w:w="707" w:type="dxa"/>
            <w:tcBorders>
              <w:top w:val="single" w:sz="6" w:space="0" w:color="auto"/>
              <w:bottom w:val="single" w:sz="6" w:space="0" w:color="auto"/>
            </w:tcBorders>
            <w:shd w:val="clear" w:color="auto" w:fill="auto"/>
          </w:tcPr>
          <w:p w14:paraId="1ABD07FE" w14:textId="77777777" w:rsidR="00EA4725" w:rsidRPr="00441372" w:rsidRDefault="00C4561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E865FA" w14:textId="77777777" w:rsidR="00EA4725" w:rsidRPr="00441372" w:rsidRDefault="00C4561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E9D0555" w14:textId="77777777" w:rsidR="00EA4725" w:rsidRPr="00441372" w:rsidRDefault="00C4561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8E25BBA" w14:textId="77777777" w:rsidR="00EA4725" w:rsidRPr="00441372" w:rsidRDefault="00C4561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679D6" w14:paraId="6DA31305" w14:textId="77777777" w:rsidTr="00F3021D">
        <w:tc>
          <w:tcPr>
            <w:tcW w:w="707" w:type="dxa"/>
            <w:tcBorders>
              <w:top w:val="single" w:sz="6" w:space="0" w:color="auto"/>
              <w:bottom w:val="single" w:sz="6" w:space="0" w:color="auto"/>
            </w:tcBorders>
            <w:shd w:val="clear" w:color="auto" w:fill="auto"/>
          </w:tcPr>
          <w:p w14:paraId="7470A5FC" w14:textId="77777777" w:rsidR="00EA4725" w:rsidRPr="00441372" w:rsidRDefault="00C4561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09CA17F" w14:textId="77777777" w:rsidR="00EA4725" w:rsidRPr="00441372" w:rsidRDefault="00C4561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 II to Regulation (EC) No 1333/2008 of the European Parliament and of the Council as regards the use of polyglycerol polyricinoleate (E 476) and the Annex to Commission Regulation (EU) No 231/2012 as regards specifications for glycerol (E 422), polyglycerol esters of fatty acids (E 475) and polyglycerol polyricinoleate (E 476)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33EC3CCF" w14:textId="77777777" w:rsidR="00EA4725" w:rsidRPr="00441372" w:rsidRDefault="00C45610" w:rsidP="00E87BA8">
            <w:r>
              <w:fldChar w:fldCharType="begin"/>
            </w:r>
            <w:r>
              <w:instrText xml:space="preserve"> HYPERLINK "https://members.wto.org/crnattachments/2023/SPS/EEC/23_8435_00_e.pdf" \t "_blank" </w:instrText>
            </w:r>
            <w:r>
              <w:fldChar w:fldCharType="separate"/>
            </w:r>
            <w:r w:rsidRPr="00441372">
              <w:rPr>
                <w:color w:val="0000FF"/>
                <w:u w:val="single"/>
              </w:rPr>
              <w:t>https://members.wto.org/crnattachments/2023/SPS/EEC/23_8435_00_e.pdf</w:t>
            </w:r>
            <w:r>
              <w:rPr>
                <w:color w:val="0000FF"/>
                <w:u w:val="single"/>
              </w:rPr>
              <w:fldChar w:fldCharType="end"/>
            </w:r>
          </w:p>
          <w:p w14:paraId="08E5A978" w14:textId="77777777" w:rsidR="00EA4725" w:rsidRPr="00441372" w:rsidRDefault="005E5A2D" w:rsidP="00441372">
            <w:pPr>
              <w:spacing w:after="120"/>
            </w:pPr>
            <w:hyperlink r:id="rId7" w:tgtFrame="_blank" w:history="1">
              <w:r w:rsidR="00C45610" w:rsidRPr="00441372">
                <w:rPr>
                  <w:color w:val="0000FF"/>
                  <w:u w:val="single"/>
                </w:rPr>
                <w:t>https://members.wto.org/crnattachments/2023/SPS/EEC/23_8435_01_e.pdf</w:t>
              </w:r>
            </w:hyperlink>
            <w:bookmarkEnd w:id="21"/>
          </w:p>
        </w:tc>
      </w:tr>
      <w:tr w:rsidR="002679D6" w14:paraId="60B718FA" w14:textId="77777777" w:rsidTr="00F3021D">
        <w:tc>
          <w:tcPr>
            <w:tcW w:w="707" w:type="dxa"/>
            <w:tcBorders>
              <w:top w:val="single" w:sz="6" w:space="0" w:color="auto"/>
              <w:bottom w:val="single" w:sz="6" w:space="0" w:color="auto"/>
            </w:tcBorders>
            <w:shd w:val="clear" w:color="auto" w:fill="auto"/>
          </w:tcPr>
          <w:p w14:paraId="241D8A06" w14:textId="77777777" w:rsidR="00EA4725" w:rsidRPr="00441372" w:rsidRDefault="00C4561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44CE8A" w14:textId="5D65B445" w:rsidR="00EA4725" w:rsidRPr="00441372" w:rsidRDefault="00C4561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text revises the EU specifications of the authorised food additives glycerol (E 422), polyglycerol esters of fatty acids (E 475) and, polyglycerol polyricinoleate (E 476) and authorises an extension of use of polyglycerol polyricinoleate (E 476) based on the recent scientific opinions from the European Food Safety Authority (EFS). For glycerol (E 422), the current specifications are adapted by reducing the maximum limits for toxic elements (arsenic, lead, mercury and cadmium), by deleting the identification method based on acrolein formation during heating, by deleting the test for the presence of acrolein, by including a maximum limit for acrolein and by modifying the definition of glycerol (E 422). For polyglycerol esters of fatty acids (E 475), the current specifications are adapted by reducing the maximum limits for toxic elements, by including maximum limits for the sum of 3-monochloropropanediol (3-MCPD) and 3-MCPD fatty acid esters (expressed as 3-MCPD), glycidyl fatty acid esters (expressed as glycidol) and erucic acid and by modifying the definition of polyglycerol esters of fatty acids (E 475). For polyglycerol polyricinoleate (E 476), the current specifications are adapted by reducing the maximum limits for toxic elements, by including maximum limits for the sum of 3</w:t>
            </w:r>
            <w:r>
              <w:noBreakHyphen/>
            </w:r>
            <w:r w:rsidRPr="0065690F">
              <w:t>monochloropropanediol (3-MCPD) and 3-MCPD fatty acid esters (expressed as 3-MCPD) and glycidyl fatty acid esters (expressed as glycidol) and by modifying the definition of polyglycerol polyricinoleate (E 476).</w:t>
            </w:r>
          </w:p>
          <w:p w14:paraId="16B44D1E" w14:textId="1D31FAA9" w:rsidR="004345E4" w:rsidRPr="0065690F" w:rsidRDefault="00C45610" w:rsidP="00441372">
            <w:pPr>
              <w:spacing w:before="120" w:after="120"/>
            </w:pPr>
            <w:r w:rsidRPr="0065690F">
              <w:t>The text also authorises the use of polyglycerol polyricinolate (E 476) in food category 03 'Edible ices' at a maximum level of 4</w:t>
            </w:r>
            <w:r>
              <w:t>,</w:t>
            </w:r>
            <w:r w:rsidRPr="0065690F">
              <w:t>000 mg/kg and in food category 12.6 'Sauces' at an increased maximum level of 8</w:t>
            </w:r>
            <w:r>
              <w:t>,</w:t>
            </w:r>
            <w:r w:rsidRPr="0065690F">
              <w:t>000 mg/kg for emulsified sauces with a fat content of 20% or more.</w:t>
            </w:r>
          </w:p>
          <w:p w14:paraId="1DFF283B" w14:textId="77777777" w:rsidR="004345E4" w:rsidRPr="0065690F" w:rsidRDefault="00C45610" w:rsidP="001F5077">
            <w:pPr>
              <w:spacing w:before="260" w:after="120"/>
            </w:pPr>
            <w:r w:rsidRPr="0065690F">
              <w:lastRenderedPageBreak/>
              <w:t>In order to allow for a smooth transition, the text lays down that the use of the food additives glycerol (E 422), polyglycerol esters of fatty acids (E 475) and polyglycerol polyricinolate (E 476) lawfully placed on the market before the date of the entry into force of this Regulation is allowed during a transitional period of six months. Foods containing such food additives may continue to be placed on the market during the same transitional period and may remain on the market until their date of minimum durability or 'use-by-date'. The food additive polyglycerol esters of fatty acids (E 475) legally placed on the market after the date of entry into force of this Regulation and complying with the reduced intermediate maximum level for glycidyl fatty acid esters (expressed as glycidol) is allowed to be used until the exhaustion of stocks and foods containing such food additive should be allowed to be placed on the market and to remain on the market until their date of minimum durability or 'use-by-date'.</w:t>
            </w:r>
            <w:bookmarkEnd w:id="23"/>
          </w:p>
        </w:tc>
      </w:tr>
      <w:tr w:rsidR="002679D6" w14:paraId="4DB702B9" w14:textId="77777777" w:rsidTr="00F3021D">
        <w:tc>
          <w:tcPr>
            <w:tcW w:w="707" w:type="dxa"/>
            <w:tcBorders>
              <w:top w:val="single" w:sz="6" w:space="0" w:color="auto"/>
              <w:bottom w:val="single" w:sz="6" w:space="0" w:color="auto"/>
            </w:tcBorders>
            <w:shd w:val="clear" w:color="auto" w:fill="auto"/>
          </w:tcPr>
          <w:p w14:paraId="6B461BD7" w14:textId="77777777" w:rsidR="00EA4725" w:rsidRPr="00441372" w:rsidRDefault="00C4561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BA6EBF5" w14:textId="77777777" w:rsidR="00EA4725" w:rsidRPr="00441372" w:rsidRDefault="00C4561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679D6" w14:paraId="6667384E" w14:textId="77777777" w:rsidTr="00F3021D">
        <w:tc>
          <w:tcPr>
            <w:tcW w:w="707" w:type="dxa"/>
            <w:tcBorders>
              <w:top w:val="single" w:sz="6" w:space="0" w:color="auto"/>
              <w:bottom w:val="single" w:sz="6" w:space="0" w:color="auto"/>
            </w:tcBorders>
            <w:shd w:val="clear" w:color="auto" w:fill="auto"/>
          </w:tcPr>
          <w:p w14:paraId="00F062A1" w14:textId="77777777" w:rsidR="00EA4725" w:rsidRPr="00441372" w:rsidRDefault="00C4561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10471CA" w14:textId="77777777" w:rsidR="00EA4725" w:rsidRPr="00441372" w:rsidRDefault="00C4561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28E07CF" w14:textId="1F8AFCF4" w:rsidR="00EA4725" w:rsidRPr="00441372" w:rsidRDefault="00C4561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General Standard for Food Additives </w:t>
            </w:r>
            <w:r w:rsidR="00796E18">
              <w:t>–</w:t>
            </w:r>
            <w:r w:rsidRPr="0065690F">
              <w:t xml:space="preserve"> Codex</w:t>
            </w:r>
            <w:r w:rsidR="00796E18">
              <w:t> </w:t>
            </w:r>
            <w:r w:rsidRPr="0065690F">
              <w:t>Stan 192-1995</w:t>
            </w:r>
            <w:bookmarkEnd w:id="39"/>
          </w:p>
          <w:p w14:paraId="5DCE62BB" w14:textId="77777777" w:rsidR="00EA4725" w:rsidRPr="00441372" w:rsidRDefault="00C4561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1AE8FE0" w14:textId="77777777" w:rsidR="00EA4725" w:rsidRPr="00441372" w:rsidRDefault="00C4561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D26C74" w14:textId="77777777" w:rsidR="00EA4725" w:rsidRPr="00441372" w:rsidRDefault="00C45610"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3975D15" w14:textId="77777777" w:rsidR="00EA4725" w:rsidRPr="00441372" w:rsidRDefault="00C4561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0DAB849" w14:textId="77777777" w:rsidR="00EA4725" w:rsidRPr="00441372" w:rsidRDefault="00C4561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1DC9133" w14:textId="6118470E" w:rsidR="00EA4725" w:rsidRPr="00441372" w:rsidRDefault="00C45610" w:rsidP="00C255F9">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food additive specifications of glycerol (E 422) developed by JECFA do not contain maximum levels for arsenic, mercury, cadmium and acrolein.</w:t>
            </w:r>
          </w:p>
          <w:p w14:paraId="15BB32B6" w14:textId="63CEB954" w:rsidR="004345E4" w:rsidRPr="0065690F" w:rsidRDefault="00C45610" w:rsidP="00C255F9">
            <w:pPr>
              <w:spacing w:after="120"/>
            </w:pPr>
            <w:r w:rsidRPr="0065690F">
              <w:t>For polyglycerol esters of fatty acids (E 475), the food additive specifications by JECFA do not contain maximum levels for arsenic, mercury, cadmium, the sum of 3</w:t>
            </w:r>
            <w:r w:rsidR="00796E18">
              <w:noBreakHyphen/>
            </w:r>
            <w:r w:rsidRPr="0065690F">
              <w:t>monochloropropanediol (3-MCPD) and 3-MCPD fatty acid esters (expressed as 3-MCPD), glycidyl fatty acid esters (expressed as glycidol) and erucic acid.</w:t>
            </w:r>
          </w:p>
          <w:p w14:paraId="49953A25" w14:textId="41A20EC4" w:rsidR="004345E4" w:rsidRPr="0065690F" w:rsidRDefault="00C45610" w:rsidP="00C255F9">
            <w:pPr>
              <w:spacing w:after="120"/>
            </w:pPr>
            <w:r w:rsidRPr="0065690F">
              <w:t>For polyglycerol polyricinoleate (E 476), the food additive specifications by JECFA do not contain maximum levels for arsenic, mercury, cadmium, the sum of 3</w:t>
            </w:r>
            <w:r w:rsidR="00796E18">
              <w:noBreakHyphen/>
            </w:r>
            <w:r w:rsidRPr="0065690F">
              <w:t>monochloropropanediol (3-MCPD) and 3-MCPD fatty acid esters (expressed as 3-MCPD) and glycidyl fatty acid esters (expressed as glycidol).</w:t>
            </w:r>
          </w:p>
          <w:p w14:paraId="7CE488F6" w14:textId="2D8E72B5" w:rsidR="004345E4" w:rsidRPr="0065690F" w:rsidRDefault="00C45610" w:rsidP="00441372">
            <w:pPr>
              <w:spacing w:after="120"/>
            </w:pPr>
            <w:r w:rsidRPr="0065690F">
              <w:t>In the Codex General Standard for Food Additives (GSFA), Polyglycerol polyricinolate (E</w:t>
            </w:r>
            <w:r w:rsidR="00796E18">
              <w:t> </w:t>
            </w:r>
            <w:r w:rsidRPr="0065690F">
              <w:t>476) is currently authorised authorised in food category 3 'Edible ices, including sherbet and sorbet' at a maximum level of 5000 mg/kg and in food categories 12.6.1. 'Emulsified sauces and dips (e.g. mayonnaise, salad dressing, onion dip)' and 12.6.3. 'Mixes for sauces and gravies' at a maximum level of 5000 mg/kg.</w:t>
            </w:r>
            <w:bookmarkEnd w:id="54"/>
          </w:p>
        </w:tc>
      </w:tr>
      <w:tr w:rsidR="002679D6" w14:paraId="5ACD6B0F" w14:textId="77777777" w:rsidTr="00F3021D">
        <w:tc>
          <w:tcPr>
            <w:tcW w:w="707" w:type="dxa"/>
            <w:tcBorders>
              <w:top w:val="single" w:sz="6" w:space="0" w:color="auto"/>
              <w:bottom w:val="single" w:sz="6" w:space="0" w:color="auto"/>
            </w:tcBorders>
            <w:shd w:val="clear" w:color="auto" w:fill="auto"/>
          </w:tcPr>
          <w:p w14:paraId="20E7FAC1" w14:textId="77777777" w:rsidR="00EA4725" w:rsidRPr="00441372" w:rsidRDefault="00C4561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8E2C974" w14:textId="77777777" w:rsidR="00E87BA8" w:rsidRDefault="00C45610"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3A6FFA1" w14:textId="6E631E56" w:rsidR="00C255F9" w:rsidRDefault="00C45610" w:rsidP="00C255F9">
            <w:pPr>
              <w:numPr>
                <w:ilvl w:val="0"/>
                <w:numId w:val="16"/>
              </w:numPr>
              <w:spacing w:before="120"/>
              <w:ind w:left="368" w:hanging="357"/>
              <w:rPr>
                <w:lang w:val="fr-CH"/>
              </w:rPr>
            </w:pPr>
            <w:r w:rsidRPr="0065690F">
              <w:t xml:space="preserve">EFSA FAF Panel (EFSA Panel on Food Additives and Flavourings), Younes M, Aquilina G, Castle L, Engel K, Fowler P, Frutos Fernandez MJ, Gundert-Remy U, Gürtler R, Husøy T, Manco M, Mennes W, Moldeus P, Passamonti S, Shah R, Waalkens-Berendsen I, Wölfle D, Wright M, Cheyns K, Mirat M, Rincon AM and Fürst P, 2022. Scientific Opinion on the follow-up of the reevaluation of glycerol (E 422) as a food additive. </w:t>
            </w:r>
            <w:r w:rsidRPr="00E87BA8">
              <w:rPr>
                <w:lang w:val="fr-CH"/>
              </w:rPr>
              <w:t>EFSA</w:t>
            </w:r>
            <w:r w:rsidR="0015538C">
              <w:rPr>
                <w:lang w:val="fr-CH"/>
              </w:rPr>
              <w:t> </w:t>
            </w:r>
            <w:r w:rsidRPr="00E87BA8">
              <w:rPr>
                <w:lang w:val="fr-CH"/>
              </w:rPr>
              <w:t>Journal 2022;20(6):7353, 18 pp.</w:t>
            </w:r>
          </w:p>
          <w:p w14:paraId="7E8B7F99" w14:textId="7A050E09" w:rsidR="00EA4725" w:rsidRPr="00E87BA8" w:rsidRDefault="005E5A2D" w:rsidP="00C255F9">
            <w:pPr>
              <w:ind w:left="368"/>
              <w:rPr>
                <w:lang w:val="fr-CH"/>
              </w:rPr>
            </w:pPr>
            <w:hyperlink r:id="rId8" w:history="1">
              <w:r w:rsidR="00C45610" w:rsidRPr="00384962">
                <w:rPr>
                  <w:rStyle w:val="Hyperlink"/>
                  <w:lang w:val="fr-CH"/>
                </w:rPr>
                <w:t>https://doi.org/10.2903/j.efsa.2022.7353</w:t>
              </w:r>
            </w:hyperlink>
          </w:p>
          <w:p w14:paraId="48AB0758" w14:textId="7569865A" w:rsidR="004345E4" w:rsidRPr="00E87BA8" w:rsidRDefault="005E5A2D" w:rsidP="00C255F9">
            <w:pPr>
              <w:ind w:left="372"/>
              <w:rPr>
                <w:lang w:val="fr-CH"/>
              </w:rPr>
            </w:pPr>
            <w:hyperlink r:id="rId9" w:history="1">
              <w:r w:rsidR="00C45610" w:rsidRPr="00384962">
                <w:rPr>
                  <w:rStyle w:val="Hyperlink"/>
                  <w:lang w:val="fr-CH"/>
                </w:rPr>
                <w:t>https://www.efsa.europa.eu/en/efsajournal/pub/7353</w:t>
              </w:r>
            </w:hyperlink>
          </w:p>
          <w:p w14:paraId="04D4CD67" w14:textId="6B8FADB8" w:rsidR="00C255F9" w:rsidRDefault="00C45610" w:rsidP="001F5077">
            <w:pPr>
              <w:numPr>
                <w:ilvl w:val="0"/>
                <w:numId w:val="16"/>
              </w:numPr>
              <w:ind w:left="368" w:hanging="357"/>
              <w:rPr>
                <w:lang w:val="fr-CH"/>
              </w:rPr>
            </w:pPr>
            <w:r w:rsidRPr="00E87BA8">
              <w:rPr>
                <w:lang w:val="fr-CH"/>
              </w:rPr>
              <w:t xml:space="preserve">EFSA FAF Panel (EFSA Panel on Food Additives and Flavourings), Younes M, Aquilina G, Castle L, Engel K, Fowler P, Frutos Fernandez MJ, Gundert-Remy U, Gürtler R, Husøy </w:t>
            </w:r>
            <w:r w:rsidRPr="00E87BA8">
              <w:rPr>
                <w:lang w:val="fr-CH"/>
              </w:rPr>
              <w:lastRenderedPageBreak/>
              <w:t xml:space="preserve">T, Manco M, Mennes W, Moldeus P, Passamonti S, Shah R, Waalkens-Berendsen I, Wölfle D, Wright M, Cheyns K, Mirat M, Rincon AM and Fürst P, 2022. </w:t>
            </w:r>
            <w:r w:rsidRPr="0065690F">
              <w:t xml:space="preserve">Scientific Opinion on the follow-up of the reevaluation of polyglycerol esters of fatty acids (E 475) as a food additive. </w:t>
            </w:r>
            <w:r w:rsidRPr="00E87BA8">
              <w:rPr>
                <w:lang w:val="fr-CH"/>
              </w:rPr>
              <w:t>EFSA Journal 2022;20 (5):7308, 21 pp.</w:t>
            </w:r>
          </w:p>
          <w:p w14:paraId="6445910F" w14:textId="0B578D72" w:rsidR="004345E4" w:rsidRPr="00E87BA8" w:rsidRDefault="005E5A2D" w:rsidP="00C255F9">
            <w:pPr>
              <w:ind w:left="372"/>
              <w:rPr>
                <w:lang w:val="fr-CH"/>
              </w:rPr>
            </w:pPr>
            <w:hyperlink r:id="rId10" w:history="1">
              <w:r w:rsidR="00C45610" w:rsidRPr="00384962">
                <w:rPr>
                  <w:rStyle w:val="Hyperlink"/>
                  <w:lang w:val="fr-CH"/>
                </w:rPr>
                <w:t>https://doi.org/10.2903/j.efsa.2022.7308</w:t>
              </w:r>
            </w:hyperlink>
          </w:p>
          <w:p w14:paraId="5BDAE156" w14:textId="41E02F8A" w:rsidR="004345E4" w:rsidRPr="00E87BA8" w:rsidRDefault="005E5A2D" w:rsidP="00C255F9">
            <w:pPr>
              <w:ind w:left="372"/>
              <w:rPr>
                <w:lang w:val="fr-CH"/>
              </w:rPr>
            </w:pPr>
            <w:hyperlink r:id="rId11" w:history="1">
              <w:r w:rsidR="00C45610" w:rsidRPr="00384962">
                <w:rPr>
                  <w:rStyle w:val="Hyperlink"/>
                  <w:lang w:val="fr-CH"/>
                </w:rPr>
                <w:t>https://www.efsa.europa.eu/en/efsajournal/pub/7308</w:t>
              </w:r>
            </w:hyperlink>
          </w:p>
          <w:p w14:paraId="6B51CA6A" w14:textId="02085C04" w:rsidR="00C255F9" w:rsidRDefault="00C45610" w:rsidP="00C255F9">
            <w:pPr>
              <w:numPr>
                <w:ilvl w:val="0"/>
                <w:numId w:val="16"/>
              </w:numPr>
              <w:ind w:left="372"/>
              <w:rPr>
                <w:lang w:val="fr-CH"/>
              </w:rPr>
            </w:pPr>
            <w:r w:rsidRPr="00E87BA8">
              <w:rPr>
                <w:lang w:val="fr-CH"/>
              </w:rPr>
              <w:t xml:space="preserve">EFSA FAF Panel (EFSA Panel on Food Additives and Flavourings), Younes M, Aquilina G, Castle L, Engel K, Fowler P, Frutos Fernandez MJ, Gundert-Remy U, Gürtler R, Husøy T, Manco M, Mennes W, Moldeus P, Passamonti S, Shah R, Waalkens-Berendsen I, Wölfle D, Wright M, Cheyns K, Mirat M, Rincon AM, Tard A and Fürst P, 2022. </w:t>
            </w:r>
            <w:r w:rsidRPr="0065690F">
              <w:t xml:space="preserve">Scientific Opinion on the follow-up of the reevaluation of polyglycerol polyricinoleate (E 476) as a food additive. </w:t>
            </w:r>
            <w:r w:rsidRPr="00E87BA8">
              <w:rPr>
                <w:lang w:val="fr-CH"/>
              </w:rPr>
              <w:t>EFSA Journal 2022;20(5):7294, 30 pp.</w:t>
            </w:r>
          </w:p>
          <w:p w14:paraId="770387DD" w14:textId="7F12A732" w:rsidR="004345E4" w:rsidRPr="00E87BA8" w:rsidRDefault="005E5A2D" w:rsidP="00C255F9">
            <w:pPr>
              <w:ind w:left="372"/>
              <w:rPr>
                <w:lang w:val="fr-CH"/>
              </w:rPr>
            </w:pPr>
            <w:hyperlink r:id="rId12" w:history="1">
              <w:r w:rsidR="00C45610" w:rsidRPr="00384962">
                <w:rPr>
                  <w:rStyle w:val="Hyperlink"/>
                  <w:lang w:val="fr-CH"/>
                </w:rPr>
                <w:t>https://doi.org/10.2903/j.efsa.2022.7294</w:t>
              </w:r>
            </w:hyperlink>
          </w:p>
          <w:p w14:paraId="5D803181" w14:textId="53E5173E" w:rsidR="004345E4" w:rsidRPr="00E87BA8" w:rsidRDefault="005E5A2D" w:rsidP="00C255F9">
            <w:pPr>
              <w:ind w:left="372"/>
              <w:rPr>
                <w:lang w:val="fr-CH"/>
              </w:rPr>
            </w:pPr>
            <w:hyperlink r:id="rId13" w:history="1">
              <w:r w:rsidR="00C45610" w:rsidRPr="00384962">
                <w:rPr>
                  <w:rStyle w:val="Hyperlink"/>
                  <w:lang w:val="fr-CH"/>
                </w:rPr>
                <w:t>https://www.efsa.europa.eu/en/efsajournal/pub/7294</w:t>
              </w:r>
            </w:hyperlink>
          </w:p>
          <w:p w14:paraId="19F80466" w14:textId="234A7900" w:rsidR="004345E4" w:rsidRPr="0065690F" w:rsidRDefault="00C45610" w:rsidP="00441372">
            <w:pPr>
              <w:spacing w:after="120"/>
            </w:pPr>
            <w:bookmarkStart w:id="57" w:name="sps9b"/>
            <w:bookmarkEnd w:id="56"/>
            <w:r w:rsidRPr="0065690F">
              <w:rPr>
                <w:bCs/>
              </w:rPr>
              <w:t>(available in English)</w:t>
            </w:r>
            <w:bookmarkEnd w:id="57"/>
          </w:p>
        </w:tc>
      </w:tr>
      <w:tr w:rsidR="002679D6" w14:paraId="1B767BDF" w14:textId="77777777" w:rsidTr="00F3021D">
        <w:tc>
          <w:tcPr>
            <w:tcW w:w="707" w:type="dxa"/>
            <w:tcBorders>
              <w:top w:val="single" w:sz="6" w:space="0" w:color="auto"/>
              <w:bottom w:val="single" w:sz="6" w:space="0" w:color="auto"/>
            </w:tcBorders>
            <w:shd w:val="clear" w:color="auto" w:fill="auto"/>
          </w:tcPr>
          <w:p w14:paraId="15910C86" w14:textId="77777777" w:rsidR="00EA4725" w:rsidRPr="00441372" w:rsidRDefault="00C45610"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789A1DA2" w14:textId="77777777" w:rsidR="00EA4725" w:rsidRPr="00441372" w:rsidRDefault="00C4561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Foreseen for Q3 2023.</w:t>
            </w:r>
            <w:bookmarkEnd w:id="59"/>
          </w:p>
          <w:p w14:paraId="4B6FCF74" w14:textId="77777777" w:rsidR="00EA4725" w:rsidRPr="00441372" w:rsidRDefault="00C4561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Foreseen for Q3 2023.</w:t>
            </w:r>
            <w:bookmarkEnd w:id="61"/>
          </w:p>
        </w:tc>
      </w:tr>
      <w:tr w:rsidR="002679D6" w14:paraId="0B9C9A16" w14:textId="77777777" w:rsidTr="00F3021D">
        <w:tc>
          <w:tcPr>
            <w:tcW w:w="707" w:type="dxa"/>
            <w:tcBorders>
              <w:top w:val="single" w:sz="6" w:space="0" w:color="auto"/>
              <w:bottom w:val="single" w:sz="6" w:space="0" w:color="auto"/>
            </w:tcBorders>
            <w:shd w:val="clear" w:color="auto" w:fill="auto"/>
          </w:tcPr>
          <w:p w14:paraId="2B7ACE9D" w14:textId="77777777" w:rsidR="00EA4725" w:rsidRPr="00441372" w:rsidRDefault="00C4561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552425" w14:textId="77777777" w:rsidR="00EA4725" w:rsidRPr="00441372" w:rsidRDefault="00C4561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20 days after publication in the Official Journal of the European Union (with transitional provisions for a six-month period).</w:t>
            </w:r>
            <w:bookmarkEnd w:id="65"/>
          </w:p>
          <w:p w14:paraId="5A586161" w14:textId="77777777" w:rsidR="00EA4725" w:rsidRPr="00441372" w:rsidRDefault="00C4561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679D6" w14:paraId="42BBB890" w14:textId="77777777" w:rsidTr="00F3021D">
        <w:tc>
          <w:tcPr>
            <w:tcW w:w="707" w:type="dxa"/>
            <w:tcBorders>
              <w:top w:val="single" w:sz="6" w:space="0" w:color="auto"/>
              <w:bottom w:val="single" w:sz="6" w:space="0" w:color="auto"/>
            </w:tcBorders>
            <w:shd w:val="clear" w:color="auto" w:fill="auto"/>
          </w:tcPr>
          <w:p w14:paraId="11CFFB49" w14:textId="77777777" w:rsidR="00EA4725" w:rsidRPr="00441372" w:rsidRDefault="00C4561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E7E952" w14:textId="77777777" w:rsidR="00EA4725" w:rsidRPr="00441372" w:rsidRDefault="00C4561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May 2023</w:t>
            </w:r>
            <w:bookmarkEnd w:id="72"/>
          </w:p>
          <w:p w14:paraId="45EEEBC5" w14:textId="77777777" w:rsidR="00EA4725" w:rsidRPr="00441372" w:rsidRDefault="00C4561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9D7BD81" w14:textId="77777777" w:rsidR="004345E4" w:rsidRPr="0065690F" w:rsidRDefault="00C45610" w:rsidP="00441372">
            <w:r w:rsidRPr="0065690F">
              <w:t>European Commission</w:t>
            </w:r>
          </w:p>
          <w:p w14:paraId="648DEF01" w14:textId="77777777" w:rsidR="004345E4" w:rsidRPr="0065690F" w:rsidRDefault="00C45610" w:rsidP="00441372">
            <w:r w:rsidRPr="0065690F">
              <w:t>DG Health and Food Safety, Unit A4-Multilateral International Relations</w:t>
            </w:r>
          </w:p>
          <w:p w14:paraId="3416DDFE" w14:textId="77777777" w:rsidR="004345E4" w:rsidRPr="00E87BA8" w:rsidRDefault="00C45610" w:rsidP="00441372">
            <w:pPr>
              <w:rPr>
                <w:lang w:val="fr-CH"/>
              </w:rPr>
            </w:pPr>
            <w:r w:rsidRPr="00E87BA8">
              <w:rPr>
                <w:lang w:val="fr-CH"/>
              </w:rPr>
              <w:t>Rue Froissart 101</w:t>
            </w:r>
          </w:p>
          <w:p w14:paraId="6C4F30F0" w14:textId="77777777" w:rsidR="004345E4" w:rsidRPr="00E87BA8" w:rsidRDefault="00C45610" w:rsidP="00441372">
            <w:pPr>
              <w:rPr>
                <w:lang w:val="fr-CH"/>
              </w:rPr>
            </w:pPr>
            <w:r w:rsidRPr="00E87BA8">
              <w:rPr>
                <w:lang w:val="fr-CH"/>
              </w:rPr>
              <w:t>B-1049 Brussels</w:t>
            </w:r>
          </w:p>
          <w:p w14:paraId="351554F5" w14:textId="77777777" w:rsidR="004345E4" w:rsidRPr="00E87BA8" w:rsidRDefault="00C45610" w:rsidP="00441372">
            <w:pPr>
              <w:rPr>
                <w:lang w:val="fr-CH"/>
              </w:rPr>
            </w:pPr>
            <w:r w:rsidRPr="00E87BA8">
              <w:rPr>
                <w:lang w:val="fr-CH"/>
              </w:rPr>
              <w:t>Tel: +(32 2) 29 54263</w:t>
            </w:r>
          </w:p>
          <w:p w14:paraId="0E6918E4" w14:textId="77777777" w:rsidR="004345E4" w:rsidRPr="00E87BA8" w:rsidRDefault="00C45610" w:rsidP="00441372">
            <w:pPr>
              <w:rPr>
                <w:lang w:val="fr-CH"/>
              </w:rPr>
            </w:pPr>
            <w:r w:rsidRPr="00E87BA8">
              <w:rPr>
                <w:lang w:val="fr-CH"/>
              </w:rPr>
              <w:t>Fax: +(32 2) 29 98090</w:t>
            </w:r>
          </w:p>
          <w:p w14:paraId="70ECAD28" w14:textId="77777777" w:rsidR="004345E4" w:rsidRPr="00E87BA8" w:rsidRDefault="00C45610" w:rsidP="00441372">
            <w:pPr>
              <w:spacing w:after="120"/>
              <w:rPr>
                <w:lang w:val="fr-CH"/>
              </w:rPr>
            </w:pPr>
            <w:r w:rsidRPr="00E87BA8">
              <w:rPr>
                <w:lang w:val="fr-CH"/>
              </w:rPr>
              <w:t xml:space="preserve">E-mail: </w:t>
            </w:r>
            <w:hyperlink r:id="rId14" w:history="1">
              <w:r w:rsidRPr="00E87BA8">
                <w:rPr>
                  <w:color w:val="0000FF"/>
                  <w:u w:val="single"/>
                  <w:lang w:val="fr-CH"/>
                </w:rPr>
                <w:t>sps@ec.europa.eu</w:t>
              </w:r>
            </w:hyperlink>
            <w:bookmarkEnd w:id="79"/>
          </w:p>
        </w:tc>
      </w:tr>
      <w:tr w:rsidR="002679D6" w14:paraId="63C7CEC1" w14:textId="77777777" w:rsidTr="00F3021D">
        <w:tc>
          <w:tcPr>
            <w:tcW w:w="707" w:type="dxa"/>
            <w:tcBorders>
              <w:top w:val="single" w:sz="6" w:space="0" w:color="auto"/>
            </w:tcBorders>
            <w:shd w:val="clear" w:color="auto" w:fill="auto"/>
          </w:tcPr>
          <w:p w14:paraId="36A44ED8" w14:textId="77777777" w:rsidR="00EA4725" w:rsidRPr="00441372" w:rsidRDefault="00C4561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7188D6" w14:textId="77777777" w:rsidR="00EA4725" w:rsidRPr="00441372" w:rsidRDefault="00C4561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69B67D1" w14:textId="77777777" w:rsidR="00EA4725" w:rsidRPr="0065690F" w:rsidRDefault="00C45610" w:rsidP="00F3021D">
            <w:pPr>
              <w:keepNext/>
              <w:keepLines/>
              <w:rPr>
                <w:bCs/>
              </w:rPr>
            </w:pPr>
            <w:r w:rsidRPr="0065690F">
              <w:rPr>
                <w:bCs/>
              </w:rPr>
              <w:t>European Commission</w:t>
            </w:r>
          </w:p>
          <w:p w14:paraId="62EA69E2" w14:textId="77777777" w:rsidR="00EA4725" w:rsidRPr="0065690F" w:rsidRDefault="00C45610" w:rsidP="00F3021D">
            <w:pPr>
              <w:keepNext/>
              <w:keepLines/>
              <w:rPr>
                <w:bCs/>
              </w:rPr>
            </w:pPr>
            <w:r w:rsidRPr="0065690F">
              <w:rPr>
                <w:bCs/>
              </w:rPr>
              <w:t>DG Health and Food Safety, Unit A4-Multilateral International Relations</w:t>
            </w:r>
          </w:p>
          <w:p w14:paraId="55ECDC57" w14:textId="77777777" w:rsidR="00EA4725" w:rsidRPr="00E87BA8" w:rsidRDefault="00C45610" w:rsidP="00F3021D">
            <w:pPr>
              <w:keepNext/>
              <w:keepLines/>
              <w:rPr>
                <w:bCs/>
                <w:lang w:val="fr-CH"/>
              </w:rPr>
            </w:pPr>
            <w:r w:rsidRPr="00E87BA8">
              <w:rPr>
                <w:bCs/>
                <w:lang w:val="fr-CH"/>
              </w:rPr>
              <w:t>Rue Froissart 101</w:t>
            </w:r>
          </w:p>
          <w:p w14:paraId="7ACDDC41" w14:textId="77777777" w:rsidR="00EA4725" w:rsidRPr="00E87BA8" w:rsidRDefault="00C45610" w:rsidP="00F3021D">
            <w:pPr>
              <w:keepNext/>
              <w:keepLines/>
              <w:rPr>
                <w:bCs/>
                <w:lang w:val="fr-CH"/>
              </w:rPr>
            </w:pPr>
            <w:r w:rsidRPr="00E87BA8">
              <w:rPr>
                <w:bCs/>
                <w:lang w:val="fr-CH"/>
              </w:rPr>
              <w:t>B-1049 Brussels</w:t>
            </w:r>
          </w:p>
          <w:p w14:paraId="4687A3F9" w14:textId="77777777" w:rsidR="00EA4725" w:rsidRPr="00E87BA8" w:rsidRDefault="00C45610" w:rsidP="00F3021D">
            <w:pPr>
              <w:keepNext/>
              <w:keepLines/>
              <w:rPr>
                <w:bCs/>
                <w:lang w:val="fr-CH"/>
              </w:rPr>
            </w:pPr>
            <w:r w:rsidRPr="00E87BA8">
              <w:rPr>
                <w:bCs/>
                <w:lang w:val="fr-CH"/>
              </w:rPr>
              <w:t>Tel: +(32 2) 29 54263</w:t>
            </w:r>
          </w:p>
          <w:p w14:paraId="5CAA52C2" w14:textId="77777777" w:rsidR="00EA4725" w:rsidRPr="00E87BA8" w:rsidRDefault="00C45610" w:rsidP="00F3021D">
            <w:pPr>
              <w:keepNext/>
              <w:keepLines/>
              <w:rPr>
                <w:bCs/>
                <w:lang w:val="fr-CH"/>
              </w:rPr>
            </w:pPr>
            <w:r w:rsidRPr="00E87BA8">
              <w:rPr>
                <w:bCs/>
                <w:lang w:val="fr-CH"/>
              </w:rPr>
              <w:t>Fax: +(32 2) 29 98090</w:t>
            </w:r>
          </w:p>
          <w:p w14:paraId="0D35CB60" w14:textId="77777777" w:rsidR="00EA4725" w:rsidRPr="00E87BA8" w:rsidRDefault="00C45610" w:rsidP="00F3021D">
            <w:pPr>
              <w:keepNext/>
              <w:keepLines/>
              <w:spacing w:after="120"/>
              <w:rPr>
                <w:bCs/>
                <w:lang w:val="fr-CH"/>
              </w:rPr>
            </w:pPr>
            <w:r w:rsidRPr="00E87BA8">
              <w:rPr>
                <w:bCs/>
                <w:lang w:val="fr-CH"/>
              </w:rPr>
              <w:t xml:space="preserve">E-mail: </w:t>
            </w:r>
            <w:hyperlink r:id="rId15" w:history="1">
              <w:r w:rsidRPr="00E87BA8">
                <w:rPr>
                  <w:bCs/>
                  <w:color w:val="0000FF"/>
                  <w:u w:val="single"/>
                  <w:lang w:val="fr-CH"/>
                </w:rPr>
                <w:t>sps@ec.europa.eu</w:t>
              </w:r>
            </w:hyperlink>
            <w:bookmarkEnd w:id="86"/>
          </w:p>
        </w:tc>
      </w:tr>
    </w:tbl>
    <w:p w14:paraId="0353BAC0" w14:textId="77777777" w:rsidR="007141CF" w:rsidRPr="00E87BA8" w:rsidRDefault="007141CF" w:rsidP="00441372">
      <w:pPr>
        <w:rPr>
          <w:lang w:val="fr-CH"/>
        </w:rPr>
      </w:pPr>
    </w:p>
    <w:sectPr w:rsidR="007141CF" w:rsidRPr="00E87BA8" w:rsidSect="00E87BA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0ED8" w14:textId="77777777" w:rsidR="00214D25" w:rsidRDefault="00C45610">
      <w:r>
        <w:separator/>
      </w:r>
    </w:p>
  </w:endnote>
  <w:endnote w:type="continuationSeparator" w:id="0">
    <w:p w14:paraId="16A708FD" w14:textId="77777777" w:rsidR="00214D25" w:rsidRDefault="00C4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0F62" w14:textId="40E05F21" w:rsidR="00EA4725" w:rsidRPr="00E87BA8" w:rsidRDefault="00C45610" w:rsidP="00E87BA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D7B" w14:textId="4FD8D70A" w:rsidR="00EA4725" w:rsidRPr="00E87BA8" w:rsidRDefault="00C45610" w:rsidP="00E87BA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A0C3" w14:textId="77777777" w:rsidR="00C863EB" w:rsidRPr="00441372" w:rsidRDefault="00C4561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58B3" w14:textId="77777777" w:rsidR="00214D25" w:rsidRDefault="00C45610">
      <w:r>
        <w:separator/>
      </w:r>
    </w:p>
  </w:footnote>
  <w:footnote w:type="continuationSeparator" w:id="0">
    <w:p w14:paraId="1076A8CA" w14:textId="77777777" w:rsidR="00214D25" w:rsidRDefault="00C4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A2F2" w14:textId="77777777" w:rsidR="00E87BA8" w:rsidRPr="00E87BA8" w:rsidRDefault="00C45610" w:rsidP="00E87BA8">
    <w:pPr>
      <w:pStyle w:val="Header"/>
      <w:pBdr>
        <w:bottom w:val="single" w:sz="4" w:space="1" w:color="auto"/>
      </w:pBdr>
      <w:tabs>
        <w:tab w:val="clear" w:pos="4513"/>
        <w:tab w:val="clear" w:pos="9027"/>
      </w:tabs>
      <w:jc w:val="center"/>
    </w:pPr>
    <w:r w:rsidRPr="00E87BA8">
      <w:t>G/SPS/N/EU/629</w:t>
    </w:r>
  </w:p>
  <w:p w14:paraId="44687ABE" w14:textId="77777777" w:rsidR="00E87BA8" w:rsidRPr="00E87BA8" w:rsidRDefault="00E87BA8" w:rsidP="00E87BA8">
    <w:pPr>
      <w:pStyle w:val="Header"/>
      <w:pBdr>
        <w:bottom w:val="single" w:sz="4" w:space="1" w:color="auto"/>
      </w:pBdr>
      <w:tabs>
        <w:tab w:val="clear" w:pos="4513"/>
        <w:tab w:val="clear" w:pos="9027"/>
      </w:tabs>
      <w:jc w:val="center"/>
    </w:pPr>
  </w:p>
  <w:p w14:paraId="339EE46B" w14:textId="0879D18B" w:rsidR="00E87BA8" w:rsidRPr="00E87BA8" w:rsidRDefault="00C45610" w:rsidP="00E87BA8">
    <w:pPr>
      <w:pStyle w:val="Header"/>
      <w:pBdr>
        <w:bottom w:val="single" w:sz="4" w:space="1" w:color="auto"/>
      </w:pBdr>
      <w:tabs>
        <w:tab w:val="clear" w:pos="4513"/>
        <w:tab w:val="clear" w:pos="9027"/>
      </w:tabs>
      <w:jc w:val="center"/>
    </w:pPr>
    <w:r w:rsidRPr="00E87BA8">
      <w:t xml:space="preserve">- </w:t>
    </w:r>
    <w:r w:rsidRPr="00E87BA8">
      <w:fldChar w:fldCharType="begin"/>
    </w:r>
    <w:r w:rsidRPr="00E87BA8">
      <w:instrText xml:space="preserve"> PAGE </w:instrText>
    </w:r>
    <w:r w:rsidRPr="00E87BA8">
      <w:fldChar w:fldCharType="separate"/>
    </w:r>
    <w:r w:rsidRPr="00E87BA8">
      <w:rPr>
        <w:noProof/>
      </w:rPr>
      <w:t>2</w:t>
    </w:r>
    <w:r w:rsidRPr="00E87BA8">
      <w:fldChar w:fldCharType="end"/>
    </w:r>
    <w:r w:rsidRPr="00E87BA8">
      <w:t xml:space="preserve"> -</w:t>
    </w:r>
  </w:p>
  <w:p w14:paraId="39370D77" w14:textId="39029870" w:rsidR="00EA4725" w:rsidRPr="00E87BA8" w:rsidRDefault="00EA4725" w:rsidP="00E87BA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4A5D" w14:textId="77777777" w:rsidR="00E87BA8" w:rsidRPr="00E87BA8" w:rsidRDefault="00C45610" w:rsidP="00E87BA8">
    <w:pPr>
      <w:pStyle w:val="Header"/>
      <w:pBdr>
        <w:bottom w:val="single" w:sz="4" w:space="1" w:color="auto"/>
      </w:pBdr>
      <w:tabs>
        <w:tab w:val="clear" w:pos="4513"/>
        <w:tab w:val="clear" w:pos="9027"/>
      </w:tabs>
      <w:jc w:val="center"/>
    </w:pPr>
    <w:r w:rsidRPr="00E87BA8">
      <w:t>G/SPS/N/EU/629</w:t>
    </w:r>
  </w:p>
  <w:p w14:paraId="0BAE4E68" w14:textId="77777777" w:rsidR="00E87BA8" w:rsidRPr="00E87BA8" w:rsidRDefault="00E87BA8" w:rsidP="00E87BA8">
    <w:pPr>
      <w:pStyle w:val="Header"/>
      <w:pBdr>
        <w:bottom w:val="single" w:sz="4" w:space="1" w:color="auto"/>
      </w:pBdr>
      <w:tabs>
        <w:tab w:val="clear" w:pos="4513"/>
        <w:tab w:val="clear" w:pos="9027"/>
      </w:tabs>
      <w:jc w:val="center"/>
    </w:pPr>
  </w:p>
  <w:p w14:paraId="0D54DE35" w14:textId="47A7CE9E" w:rsidR="00E87BA8" w:rsidRPr="00E87BA8" w:rsidRDefault="00C45610" w:rsidP="00E87BA8">
    <w:pPr>
      <w:pStyle w:val="Header"/>
      <w:pBdr>
        <w:bottom w:val="single" w:sz="4" w:space="1" w:color="auto"/>
      </w:pBdr>
      <w:tabs>
        <w:tab w:val="clear" w:pos="4513"/>
        <w:tab w:val="clear" w:pos="9027"/>
      </w:tabs>
      <w:jc w:val="center"/>
    </w:pPr>
    <w:r w:rsidRPr="00E87BA8">
      <w:t xml:space="preserve">- </w:t>
    </w:r>
    <w:r w:rsidRPr="00E87BA8">
      <w:fldChar w:fldCharType="begin"/>
    </w:r>
    <w:r w:rsidRPr="00E87BA8">
      <w:instrText xml:space="preserve"> PAGE </w:instrText>
    </w:r>
    <w:r w:rsidRPr="00E87BA8">
      <w:fldChar w:fldCharType="separate"/>
    </w:r>
    <w:r w:rsidRPr="00E87BA8">
      <w:rPr>
        <w:noProof/>
      </w:rPr>
      <w:t>2</w:t>
    </w:r>
    <w:r w:rsidRPr="00E87BA8">
      <w:fldChar w:fldCharType="end"/>
    </w:r>
    <w:r w:rsidRPr="00E87BA8">
      <w:t xml:space="preserve"> -</w:t>
    </w:r>
  </w:p>
  <w:p w14:paraId="02E63620" w14:textId="7AAE5737" w:rsidR="00EA4725" w:rsidRPr="00E87BA8" w:rsidRDefault="00EA4725" w:rsidP="00E87BA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79D6" w14:paraId="42A56E18" w14:textId="77777777" w:rsidTr="00EE3CAF">
      <w:trPr>
        <w:trHeight w:val="240"/>
        <w:jc w:val="center"/>
      </w:trPr>
      <w:tc>
        <w:tcPr>
          <w:tcW w:w="3794" w:type="dxa"/>
          <w:shd w:val="clear" w:color="auto" w:fill="FFFFFF"/>
          <w:tcMar>
            <w:left w:w="108" w:type="dxa"/>
            <w:right w:w="108" w:type="dxa"/>
          </w:tcMar>
          <w:vAlign w:val="center"/>
        </w:tcPr>
        <w:p w14:paraId="3B51353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5741DBB" w14:textId="01EE7366" w:rsidR="00ED54E0" w:rsidRPr="00EA4725" w:rsidRDefault="00C45610" w:rsidP="00422B6F">
          <w:pPr>
            <w:jc w:val="right"/>
            <w:rPr>
              <w:b/>
              <w:color w:val="FF0000"/>
              <w:szCs w:val="16"/>
            </w:rPr>
          </w:pPr>
          <w:r>
            <w:rPr>
              <w:b/>
              <w:color w:val="FF0000"/>
              <w:szCs w:val="16"/>
            </w:rPr>
            <w:t xml:space="preserve"> </w:t>
          </w:r>
        </w:p>
      </w:tc>
    </w:tr>
    <w:bookmarkEnd w:id="87"/>
    <w:tr w:rsidR="002679D6" w14:paraId="6A9F35DD" w14:textId="77777777" w:rsidTr="00EE3CAF">
      <w:trPr>
        <w:trHeight w:val="213"/>
        <w:jc w:val="center"/>
      </w:trPr>
      <w:tc>
        <w:tcPr>
          <w:tcW w:w="3794" w:type="dxa"/>
          <w:vMerge w:val="restart"/>
          <w:shd w:val="clear" w:color="auto" w:fill="FFFFFF"/>
          <w:tcMar>
            <w:left w:w="0" w:type="dxa"/>
            <w:right w:w="0" w:type="dxa"/>
          </w:tcMar>
        </w:tcPr>
        <w:p w14:paraId="5F7D5C6B" w14:textId="77777777" w:rsidR="00ED54E0" w:rsidRPr="00EA4725" w:rsidRDefault="005E5A2D" w:rsidP="00422B6F">
          <w:pPr>
            <w:jc w:val="left"/>
          </w:pPr>
          <w:r>
            <w:rPr>
              <w:lang w:eastAsia="en-GB"/>
            </w:rPr>
            <w:pict w14:anchorId="7E32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1.8pt;height:54.35pt;visibility:visible">
                <v:imagedata r:id="rId1" o:title=""/>
              </v:shape>
            </w:pict>
          </w:r>
        </w:p>
      </w:tc>
      <w:tc>
        <w:tcPr>
          <w:tcW w:w="5448" w:type="dxa"/>
          <w:gridSpan w:val="2"/>
          <w:shd w:val="clear" w:color="auto" w:fill="FFFFFF"/>
          <w:tcMar>
            <w:left w:w="108" w:type="dxa"/>
            <w:right w:w="108" w:type="dxa"/>
          </w:tcMar>
        </w:tcPr>
        <w:p w14:paraId="674F5C92" w14:textId="77777777" w:rsidR="00ED54E0" w:rsidRPr="00EA4725" w:rsidRDefault="00ED54E0" w:rsidP="00422B6F">
          <w:pPr>
            <w:jc w:val="right"/>
            <w:rPr>
              <w:b/>
              <w:szCs w:val="16"/>
            </w:rPr>
          </w:pPr>
        </w:p>
      </w:tc>
    </w:tr>
    <w:tr w:rsidR="002679D6" w14:paraId="4732B50F" w14:textId="77777777" w:rsidTr="00EE3CAF">
      <w:trPr>
        <w:trHeight w:val="868"/>
        <w:jc w:val="center"/>
      </w:trPr>
      <w:tc>
        <w:tcPr>
          <w:tcW w:w="3794" w:type="dxa"/>
          <w:vMerge/>
          <w:shd w:val="clear" w:color="auto" w:fill="FFFFFF"/>
          <w:tcMar>
            <w:left w:w="108" w:type="dxa"/>
            <w:right w:w="108" w:type="dxa"/>
          </w:tcMar>
        </w:tcPr>
        <w:p w14:paraId="78E23D8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DFFC12" w14:textId="77777777" w:rsidR="00E87BA8" w:rsidRDefault="00C45610" w:rsidP="00656ABC">
          <w:pPr>
            <w:jc w:val="right"/>
            <w:rPr>
              <w:b/>
              <w:szCs w:val="16"/>
            </w:rPr>
          </w:pPr>
          <w:bookmarkStart w:id="88" w:name="bmkSymbols"/>
          <w:r>
            <w:rPr>
              <w:b/>
              <w:szCs w:val="16"/>
            </w:rPr>
            <w:t>G/SPS/N/EU/629</w:t>
          </w:r>
          <w:bookmarkEnd w:id="88"/>
        </w:p>
      </w:tc>
    </w:tr>
    <w:tr w:rsidR="002679D6" w14:paraId="5A5DBD00" w14:textId="77777777" w:rsidTr="00EE3CAF">
      <w:trPr>
        <w:trHeight w:val="240"/>
        <w:jc w:val="center"/>
      </w:trPr>
      <w:tc>
        <w:tcPr>
          <w:tcW w:w="3794" w:type="dxa"/>
          <w:vMerge/>
          <w:shd w:val="clear" w:color="auto" w:fill="FFFFFF"/>
          <w:tcMar>
            <w:left w:w="108" w:type="dxa"/>
            <w:right w:w="108" w:type="dxa"/>
          </w:tcMar>
          <w:vAlign w:val="center"/>
        </w:tcPr>
        <w:p w14:paraId="7F58DE7B" w14:textId="77777777" w:rsidR="00ED54E0" w:rsidRPr="00EA4725" w:rsidRDefault="00ED54E0" w:rsidP="00422B6F"/>
      </w:tc>
      <w:tc>
        <w:tcPr>
          <w:tcW w:w="5448" w:type="dxa"/>
          <w:gridSpan w:val="2"/>
          <w:shd w:val="clear" w:color="auto" w:fill="FFFFFF"/>
          <w:tcMar>
            <w:left w:w="108" w:type="dxa"/>
            <w:right w:w="108" w:type="dxa"/>
          </w:tcMar>
          <w:vAlign w:val="center"/>
        </w:tcPr>
        <w:p w14:paraId="0F5C1351" w14:textId="77777777" w:rsidR="00ED54E0" w:rsidRPr="00EA4725" w:rsidRDefault="00C45610" w:rsidP="00422B6F">
          <w:pPr>
            <w:jc w:val="right"/>
            <w:rPr>
              <w:szCs w:val="16"/>
            </w:rPr>
          </w:pPr>
          <w:bookmarkStart w:id="89" w:name="spsDateDistribution"/>
          <w:bookmarkStart w:id="90" w:name="bmkDate"/>
          <w:bookmarkEnd w:id="89"/>
          <w:r w:rsidRPr="00EA4725">
            <w:rPr>
              <w:szCs w:val="16"/>
            </w:rPr>
            <w:t>24 March 2023</w:t>
          </w:r>
          <w:bookmarkEnd w:id="90"/>
        </w:p>
      </w:tc>
    </w:tr>
    <w:tr w:rsidR="002679D6" w14:paraId="082FA6A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289A24" w14:textId="28555DE0" w:rsidR="00ED54E0" w:rsidRPr="00EA4725" w:rsidRDefault="00C45610"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5E5A2D">
            <w:rPr>
              <w:color w:val="FF0000"/>
              <w:szCs w:val="16"/>
            </w:rPr>
            <w:t>2134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5AE3B90" w14:textId="77777777" w:rsidR="00ED54E0" w:rsidRPr="00EA4725" w:rsidRDefault="00C4561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679D6" w14:paraId="215041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1A30DD" w14:textId="6A1DBF0D" w:rsidR="00ED54E0" w:rsidRPr="00EA4725" w:rsidRDefault="00C4561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2D144FC" w14:textId="7747EB7B" w:rsidR="00ED54E0" w:rsidRPr="00441372" w:rsidRDefault="00C45610" w:rsidP="00EC687E">
          <w:pPr>
            <w:jc w:val="right"/>
            <w:rPr>
              <w:bCs/>
              <w:szCs w:val="18"/>
            </w:rPr>
          </w:pPr>
          <w:bookmarkStart w:id="95" w:name="bmkLanguage"/>
          <w:r>
            <w:rPr>
              <w:bCs/>
              <w:szCs w:val="18"/>
            </w:rPr>
            <w:t>Original: English</w:t>
          </w:r>
          <w:bookmarkEnd w:id="95"/>
        </w:p>
      </w:tc>
    </w:tr>
  </w:tbl>
  <w:p w14:paraId="1EFEEF4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66218"/>
    <w:multiLevelType w:val="hybridMultilevel"/>
    <w:tmpl w:val="DF5C6F9C"/>
    <w:lvl w:ilvl="0" w:tplc="0ED8ED6C">
      <w:start w:val="1"/>
      <w:numFmt w:val="bullet"/>
      <w:lvlText w:val="-"/>
      <w:lvlJc w:val="left"/>
      <w:pPr>
        <w:ind w:left="720" w:hanging="360"/>
      </w:pPr>
      <w:rPr>
        <w:rFonts w:ascii="Symbol" w:hAnsi="Symbol" w:hint="default"/>
      </w:rPr>
    </w:lvl>
    <w:lvl w:ilvl="1" w:tplc="EDE27ACE" w:tentative="1">
      <w:start w:val="1"/>
      <w:numFmt w:val="bullet"/>
      <w:lvlText w:val="o"/>
      <w:lvlJc w:val="left"/>
      <w:pPr>
        <w:ind w:left="1440" w:hanging="360"/>
      </w:pPr>
      <w:rPr>
        <w:rFonts w:ascii="Courier New" w:hAnsi="Courier New" w:cs="Courier New" w:hint="default"/>
      </w:rPr>
    </w:lvl>
    <w:lvl w:ilvl="2" w:tplc="B2308CF4" w:tentative="1">
      <w:start w:val="1"/>
      <w:numFmt w:val="bullet"/>
      <w:lvlText w:val=""/>
      <w:lvlJc w:val="left"/>
      <w:pPr>
        <w:ind w:left="2160" w:hanging="360"/>
      </w:pPr>
      <w:rPr>
        <w:rFonts w:ascii="Wingdings" w:hAnsi="Wingdings" w:hint="default"/>
      </w:rPr>
    </w:lvl>
    <w:lvl w:ilvl="3" w:tplc="19A06CC6" w:tentative="1">
      <w:start w:val="1"/>
      <w:numFmt w:val="bullet"/>
      <w:lvlText w:val=""/>
      <w:lvlJc w:val="left"/>
      <w:pPr>
        <w:ind w:left="2880" w:hanging="360"/>
      </w:pPr>
      <w:rPr>
        <w:rFonts w:ascii="Symbol" w:hAnsi="Symbol" w:hint="default"/>
      </w:rPr>
    </w:lvl>
    <w:lvl w:ilvl="4" w:tplc="44944862" w:tentative="1">
      <w:start w:val="1"/>
      <w:numFmt w:val="bullet"/>
      <w:lvlText w:val="o"/>
      <w:lvlJc w:val="left"/>
      <w:pPr>
        <w:ind w:left="3600" w:hanging="360"/>
      </w:pPr>
      <w:rPr>
        <w:rFonts w:ascii="Courier New" w:hAnsi="Courier New" w:cs="Courier New" w:hint="default"/>
      </w:rPr>
    </w:lvl>
    <w:lvl w:ilvl="5" w:tplc="310883A8" w:tentative="1">
      <w:start w:val="1"/>
      <w:numFmt w:val="bullet"/>
      <w:lvlText w:val=""/>
      <w:lvlJc w:val="left"/>
      <w:pPr>
        <w:ind w:left="4320" w:hanging="360"/>
      </w:pPr>
      <w:rPr>
        <w:rFonts w:ascii="Wingdings" w:hAnsi="Wingdings" w:hint="default"/>
      </w:rPr>
    </w:lvl>
    <w:lvl w:ilvl="6" w:tplc="2D2A344C" w:tentative="1">
      <w:start w:val="1"/>
      <w:numFmt w:val="bullet"/>
      <w:lvlText w:val=""/>
      <w:lvlJc w:val="left"/>
      <w:pPr>
        <w:ind w:left="5040" w:hanging="360"/>
      </w:pPr>
      <w:rPr>
        <w:rFonts w:ascii="Symbol" w:hAnsi="Symbol" w:hint="default"/>
      </w:rPr>
    </w:lvl>
    <w:lvl w:ilvl="7" w:tplc="C1D82840" w:tentative="1">
      <w:start w:val="1"/>
      <w:numFmt w:val="bullet"/>
      <w:lvlText w:val="o"/>
      <w:lvlJc w:val="left"/>
      <w:pPr>
        <w:ind w:left="5760" w:hanging="360"/>
      </w:pPr>
      <w:rPr>
        <w:rFonts w:ascii="Courier New" w:hAnsi="Courier New" w:cs="Courier New" w:hint="default"/>
      </w:rPr>
    </w:lvl>
    <w:lvl w:ilvl="8" w:tplc="91CA9E1E"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FAA35F2">
      <w:start w:val="1"/>
      <w:numFmt w:val="decimal"/>
      <w:pStyle w:val="SummaryText"/>
      <w:lvlText w:val="%1."/>
      <w:lvlJc w:val="left"/>
      <w:pPr>
        <w:ind w:left="360" w:hanging="360"/>
      </w:pPr>
    </w:lvl>
    <w:lvl w:ilvl="1" w:tplc="07C8D3A2" w:tentative="1">
      <w:start w:val="1"/>
      <w:numFmt w:val="lowerLetter"/>
      <w:lvlText w:val="%2."/>
      <w:lvlJc w:val="left"/>
      <w:pPr>
        <w:ind w:left="1080" w:hanging="360"/>
      </w:pPr>
    </w:lvl>
    <w:lvl w:ilvl="2" w:tplc="85D24590" w:tentative="1">
      <w:start w:val="1"/>
      <w:numFmt w:val="lowerRoman"/>
      <w:lvlText w:val="%3."/>
      <w:lvlJc w:val="right"/>
      <w:pPr>
        <w:ind w:left="1800" w:hanging="180"/>
      </w:pPr>
    </w:lvl>
    <w:lvl w:ilvl="3" w:tplc="31061340" w:tentative="1">
      <w:start w:val="1"/>
      <w:numFmt w:val="decimal"/>
      <w:lvlText w:val="%4."/>
      <w:lvlJc w:val="left"/>
      <w:pPr>
        <w:ind w:left="2520" w:hanging="360"/>
      </w:pPr>
    </w:lvl>
    <w:lvl w:ilvl="4" w:tplc="E162F37A" w:tentative="1">
      <w:start w:val="1"/>
      <w:numFmt w:val="lowerLetter"/>
      <w:lvlText w:val="%5."/>
      <w:lvlJc w:val="left"/>
      <w:pPr>
        <w:ind w:left="3240" w:hanging="360"/>
      </w:pPr>
    </w:lvl>
    <w:lvl w:ilvl="5" w:tplc="27E8520A" w:tentative="1">
      <w:start w:val="1"/>
      <w:numFmt w:val="lowerRoman"/>
      <w:lvlText w:val="%6."/>
      <w:lvlJc w:val="right"/>
      <w:pPr>
        <w:ind w:left="3960" w:hanging="180"/>
      </w:pPr>
    </w:lvl>
    <w:lvl w:ilvl="6" w:tplc="A3243426" w:tentative="1">
      <w:start w:val="1"/>
      <w:numFmt w:val="decimal"/>
      <w:lvlText w:val="%7."/>
      <w:lvlJc w:val="left"/>
      <w:pPr>
        <w:ind w:left="4680" w:hanging="360"/>
      </w:pPr>
    </w:lvl>
    <w:lvl w:ilvl="7" w:tplc="1E3C55B4" w:tentative="1">
      <w:start w:val="1"/>
      <w:numFmt w:val="lowerLetter"/>
      <w:lvlText w:val="%8."/>
      <w:lvlJc w:val="left"/>
      <w:pPr>
        <w:ind w:left="5400" w:hanging="360"/>
      </w:pPr>
    </w:lvl>
    <w:lvl w:ilvl="8" w:tplc="2BA47C78" w:tentative="1">
      <w:start w:val="1"/>
      <w:numFmt w:val="lowerRoman"/>
      <w:lvlText w:val="%9."/>
      <w:lvlJc w:val="right"/>
      <w:pPr>
        <w:ind w:left="6120" w:hanging="180"/>
      </w:pPr>
    </w:lvl>
  </w:abstractNum>
  <w:num w:numId="1" w16cid:durableId="20321942">
    <w:abstractNumId w:val="9"/>
  </w:num>
  <w:num w:numId="2" w16cid:durableId="905264728">
    <w:abstractNumId w:val="7"/>
  </w:num>
  <w:num w:numId="3" w16cid:durableId="442000844">
    <w:abstractNumId w:val="6"/>
  </w:num>
  <w:num w:numId="4" w16cid:durableId="1683436961">
    <w:abstractNumId w:val="5"/>
  </w:num>
  <w:num w:numId="5" w16cid:durableId="796800228">
    <w:abstractNumId w:val="4"/>
  </w:num>
  <w:num w:numId="6" w16cid:durableId="937910237">
    <w:abstractNumId w:val="13"/>
  </w:num>
  <w:num w:numId="7" w16cid:durableId="1637105468">
    <w:abstractNumId w:val="12"/>
  </w:num>
  <w:num w:numId="8" w16cid:durableId="89547835">
    <w:abstractNumId w:val="11"/>
  </w:num>
  <w:num w:numId="9" w16cid:durableId="496922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0901823">
    <w:abstractNumId w:val="14"/>
  </w:num>
  <w:num w:numId="11" w16cid:durableId="9570038">
    <w:abstractNumId w:val="8"/>
  </w:num>
  <w:num w:numId="12" w16cid:durableId="689067783">
    <w:abstractNumId w:val="3"/>
  </w:num>
  <w:num w:numId="13" w16cid:durableId="1687950092">
    <w:abstractNumId w:val="2"/>
  </w:num>
  <w:num w:numId="14" w16cid:durableId="1976830126">
    <w:abstractNumId w:val="1"/>
  </w:num>
  <w:num w:numId="15" w16cid:durableId="481850422">
    <w:abstractNumId w:val="0"/>
  </w:num>
  <w:num w:numId="16" w16cid:durableId="1644653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538C"/>
    <w:rsid w:val="00157B94"/>
    <w:rsid w:val="00175ED4"/>
    <w:rsid w:val="00182B84"/>
    <w:rsid w:val="001E291F"/>
    <w:rsid w:val="001E596A"/>
    <w:rsid w:val="001F396B"/>
    <w:rsid w:val="001F5077"/>
    <w:rsid w:val="00214D25"/>
    <w:rsid w:val="00233408"/>
    <w:rsid w:val="002679D6"/>
    <w:rsid w:val="0027067B"/>
    <w:rsid w:val="00272C98"/>
    <w:rsid w:val="002A67C2"/>
    <w:rsid w:val="002C2634"/>
    <w:rsid w:val="00334D8B"/>
    <w:rsid w:val="0035602E"/>
    <w:rsid w:val="003572B4"/>
    <w:rsid w:val="003817C7"/>
    <w:rsid w:val="00384962"/>
    <w:rsid w:val="00395125"/>
    <w:rsid w:val="003E2958"/>
    <w:rsid w:val="00422B6F"/>
    <w:rsid w:val="00423377"/>
    <w:rsid w:val="004345E4"/>
    <w:rsid w:val="00441372"/>
    <w:rsid w:val="00467032"/>
    <w:rsid w:val="0046754A"/>
    <w:rsid w:val="004B39D5"/>
    <w:rsid w:val="004E4B52"/>
    <w:rsid w:val="004F203A"/>
    <w:rsid w:val="005336B8"/>
    <w:rsid w:val="00547B5F"/>
    <w:rsid w:val="005B04B9"/>
    <w:rsid w:val="005B68C7"/>
    <w:rsid w:val="005B7054"/>
    <w:rsid w:val="005C04C1"/>
    <w:rsid w:val="005D5981"/>
    <w:rsid w:val="005E5A2D"/>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6E18"/>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5F9"/>
    <w:rsid w:val="00C305D7"/>
    <w:rsid w:val="00C30F2A"/>
    <w:rsid w:val="00C43456"/>
    <w:rsid w:val="00C43F16"/>
    <w:rsid w:val="00C45610"/>
    <w:rsid w:val="00C65C0C"/>
    <w:rsid w:val="00C808FC"/>
    <w:rsid w:val="00C863EB"/>
    <w:rsid w:val="00CD7D97"/>
    <w:rsid w:val="00CE3EE6"/>
    <w:rsid w:val="00CE4BA1"/>
    <w:rsid w:val="00D000C7"/>
    <w:rsid w:val="00D52A9D"/>
    <w:rsid w:val="00D55AAD"/>
    <w:rsid w:val="00D63990"/>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7BA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C25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i.org/10.2903/j.efsa.2022.7353" TargetMode="External"/><Relationship Id="rId13" Type="http://schemas.openxmlformats.org/officeDocument/2006/relationships/hyperlink" Target="https://www.efsa.europa.eu/en/efsajournal/pub/729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3/SPS/EEC/23_8435_01_e.pdf" TargetMode="External"/><Relationship Id="rId12" Type="http://schemas.openxmlformats.org/officeDocument/2006/relationships/hyperlink" Target="https://doi.org/10.2903/j.efsa.2022.729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fsa.europa.eu/en/efsajournal/pub/7308" TargetMode="External"/><Relationship Id="rId5" Type="http://schemas.openxmlformats.org/officeDocument/2006/relationships/footnotes" Target="footnotes.xml"/><Relationship Id="rId15" Type="http://schemas.openxmlformats.org/officeDocument/2006/relationships/hyperlink" Target="mailto:sps@ec.europa.eu" TargetMode="External"/><Relationship Id="rId23" Type="http://schemas.openxmlformats.org/officeDocument/2006/relationships/theme" Target="theme/theme1.xml"/><Relationship Id="rId10" Type="http://schemas.openxmlformats.org/officeDocument/2006/relationships/hyperlink" Target="https://doi.org/10.2903/j.efsa.2022.730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fsa.europa.eu/en/efsajournal/pub/7353" TargetMode="External"/><Relationship Id="rId14" Type="http://schemas.openxmlformats.org/officeDocument/2006/relationships/hyperlink" Target="mailto:sps@ec.europa.e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1440</Words>
  <Characters>8183</Characters>
  <Application>Microsoft Office Word</Application>
  <DocSecurity>0</DocSecurity>
  <Lines>160</Lines>
  <Paragraphs>89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32</cp:revision>
  <dcterms:created xsi:type="dcterms:W3CDTF">2017-07-03T11:19:00Z</dcterms:created>
  <dcterms:modified xsi:type="dcterms:W3CDTF">2023-03-24T13:51:00Z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G/SPS/N/EU/629</vt:lpwstr>
  </property>
  <property fmtid="{D5CDD505-2E9C-101B-9397-08002B2CF9AE}" pid="3" name="TitusGUID">
    <vt:lpwstr>e00c927e-8c0a-4a3c-9375-f5cc13ac2872</vt:lpwstr>
  </property>
  <property fmtid="{D5CDD505-2E9C-101B-9397-08002B2CF9AE}" pid="4" name="WTOCLASSIFICATION">
    <vt:lpwstr>WTO OFFICIAL</vt:lpwstr>
  </property>
</Properties>
</file>